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5111C7DC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５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357D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69C8DAC7" w:rsidR="008E53D5" w:rsidRPr="003473E1" w:rsidRDefault="00C820A4" w:rsidP="003473E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C820A4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岐阜市保健所及び岐阜市福祉健康センターで使用する電気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1683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2C02"/>
    <w:rsid w:val="004264F2"/>
    <w:rsid w:val="0044748D"/>
    <w:rsid w:val="004A19DE"/>
    <w:rsid w:val="004B1580"/>
    <w:rsid w:val="004C3139"/>
    <w:rsid w:val="00516A65"/>
    <w:rsid w:val="00540570"/>
    <w:rsid w:val="00550F73"/>
    <w:rsid w:val="005A6C84"/>
    <w:rsid w:val="006119BD"/>
    <w:rsid w:val="00627538"/>
    <w:rsid w:val="00634C3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9334B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273DE"/>
    <w:rsid w:val="00E777DB"/>
    <w:rsid w:val="00E81110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2026-04-06T05:32:00Z</dcterms:modified>
</cp:coreProperties>
</file>