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7A" w:rsidRDefault="002E6455">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○岐阜市暴力団排除条例</w:t>
      </w:r>
    </w:p>
    <w:p w:rsidR="00B3447A" w:rsidRDefault="002E645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年３月</w:t>
      </w:r>
      <w:r>
        <w:rPr>
          <w:rFonts w:ascii="Century" w:eastAsia="ＭＳ 明朝" w:hAnsi="ＭＳ 明朝" w:cs="ＭＳ 明朝"/>
          <w:color w:val="000000"/>
          <w:kern w:val="0"/>
          <w:szCs w:val="21"/>
        </w:rPr>
        <w:t>29</w:t>
      </w:r>
      <w:r>
        <w:rPr>
          <w:rFonts w:ascii="Century" w:eastAsia="ＭＳ 明朝" w:hAnsi="ＭＳ 明朝" w:cs="ＭＳ 明朝" w:hint="eastAsia"/>
          <w:color w:val="000000"/>
          <w:kern w:val="0"/>
          <w:szCs w:val="21"/>
        </w:rPr>
        <w:t>日</w:t>
      </w:r>
    </w:p>
    <w:p w:rsidR="00B3447A" w:rsidRDefault="002E645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条例第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号</w:t>
      </w:r>
    </w:p>
    <w:p w:rsidR="00B3447A" w:rsidRDefault="002E6455">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25</w:t>
      </w:r>
      <w:r>
        <w:rPr>
          <w:rFonts w:ascii="Century" w:eastAsia="ＭＳ 明朝" w:hAnsi="ＭＳ 明朝" w:cs="ＭＳ 明朝" w:hint="eastAsia"/>
          <w:color w:val="000000"/>
          <w:kern w:val="0"/>
          <w:szCs w:val="21"/>
        </w:rPr>
        <w:t>日条例第</w:t>
      </w:r>
      <w:r>
        <w:rPr>
          <w:rFonts w:ascii="Century" w:eastAsia="ＭＳ 明朝" w:hAnsi="ＭＳ 明朝" w:cs="ＭＳ 明朝"/>
          <w:color w:val="000000"/>
          <w:kern w:val="0"/>
          <w:szCs w:val="21"/>
        </w:rPr>
        <w:t>80</w:t>
      </w:r>
      <w:r>
        <w:rPr>
          <w:rFonts w:ascii="Century" w:eastAsia="ＭＳ 明朝" w:hAnsi="ＭＳ 明朝" w:cs="ＭＳ 明朝" w:hint="eastAsia"/>
          <w:color w:val="000000"/>
          <w:kern w:val="0"/>
          <w:szCs w:val="21"/>
        </w:rPr>
        <w:t>号</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（目的）</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条例は、暴力団の排除に関し基本理念を定め、市、市民及び事業者の責務を明らかにするとともに、暴力団の排除に関する事項を定めることにより、社会全体で暴力団の排除を推進し、もって市民の安全で平穏な生活を確保するとともに、社会経済活動の健全な発展に寄与することを目的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（定義）</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この条例において、次の各号に掲げる用語の意義は、それぞれ当該各号に定めるところによる。</w:t>
      </w:r>
    </w:p>
    <w:p w:rsidR="00B3447A" w:rsidRDefault="002E645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暴力団　暴力団員による不当な行為の防止等に関する法律（平成３年法律第</w:t>
      </w:r>
      <w:r>
        <w:rPr>
          <w:rFonts w:ascii="Century" w:eastAsia="ＭＳ 明朝" w:hAnsi="ＭＳ 明朝" w:cs="ＭＳ 明朝"/>
          <w:color w:val="000000"/>
          <w:kern w:val="0"/>
          <w:szCs w:val="21"/>
        </w:rPr>
        <w:t>77</w:t>
      </w:r>
      <w:r>
        <w:rPr>
          <w:rFonts w:ascii="Century" w:eastAsia="ＭＳ 明朝" w:hAnsi="ＭＳ 明朝" w:cs="ＭＳ 明朝" w:hint="eastAsia"/>
          <w:color w:val="000000"/>
          <w:kern w:val="0"/>
          <w:szCs w:val="21"/>
        </w:rPr>
        <w:t>号。以下「法」という。）第２条第２号に規定する暴力団をいう。</w:t>
      </w:r>
    </w:p>
    <w:p w:rsidR="00B3447A" w:rsidRDefault="002E645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暴力団員　法第２条第６号に規定する暴力団員をいう。</w:t>
      </w:r>
    </w:p>
    <w:p w:rsidR="00B3447A" w:rsidRDefault="002E645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警察等　警察及び法第</w:t>
      </w:r>
      <w:r>
        <w:rPr>
          <w:rFonts w:ascii="Century" w:eastAsia="ＭＳ 明朝" w:hAnsi="ＭＳ 明朝" w:cs="ＭＳ 明朝"/>
          <w:color w:val="000000"/>
          <w:kern w:val="0"/>
          <w:szCs w:val="21"/>
        </w:rPr>
        <w:t>32</w:t>
      </w:r>
      <w:r>
        <w:rPr>
          <w:rFonts w:ascii="Century" w:eastAsia="ＭＳ 明朝" w:hAnsi="ＭＳ 明朝" w:cs="ＭＳ 明朝" w:hint="eastAsia"/>
          <w:color w:val="000000"/>
          <w:kern w:val="0"/>
          <w:szCs w:val="21"/>
        </w:rPr>
        <w:t>条の３第１項の規定により公安委員会から岐阜県暴力追放運動推進センターとして指定を受けた者をいう。</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（基本理念）</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暴力団の排除は、暴力団が市民の生活及び社会経済活動に不当な影響を与える反社会的存在であることを認識し、暴力団を恐れないこと、暴力団に資金を提供しないこと及び暴力団を利用しないことを基本として、市、市民、事業者、関係機関及び関係団体の連携及び協力の下に、社会一丸となって推進されなければならない。</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（市の責務）</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市は、前条に定める基本理念（以下「基本理念」という。）にのっとり、市民及び事業者の協力を得るとともに、県、警察等及び暴力団の排除のための活動に取り組む団体との連携及び協力を図りながら、暴力団の排除に関する施策を総合的に推進するものと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市は、暴力団の排除に資すると認められる情報を知ったときは、速やかに当該情報を警察等へ提供するものとする。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（市民及び事業者の責務）</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市民は、基本理念にのっとり、暴力団の排除のための活動に自主的に協力するとともに、市が実施する暴力団の排除に関する施策に協力するよう努めるものとする。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事業者は、基本理念にのっとり、その行う事業（事業の準備を含む。以下同じ。）により暴力団を利することとならないようにするとともに、市が実施する暴力団の排除に関する施策に</w:t>
      </w:r>
      <w:r>
        <w:rPr>
          <w:rFonts w:ascii="Century" w:eastAsia="ＭＳ 明朝" w:hAnsi="ＭＳ 明朝" w:cs="ＭＳ 明朝" w:hint="eastAsia"/>
          <w:color w:val="000000"/>
          <w:kern w:val="0"/>
          <w:szCs w:val="21"/>
        </w:rPr>
        <w:lastRenderedPageBreak/>
        <w:t>協力するものとする。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市民及び事業者は、基本理念にのっとり、暴力団員と社会的に非難されるべき関係を持つことがないよう努めるものとする。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市民及び事業者は、暴力団の排除に資すると認められる情報を知ったときは、速やかに当該情報を警察等へ提供するよう努めるものとする。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（不当要求行為等に対する措置）</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市は、暴力団員又は暴力団若しくは暴力団員と密接な関係を有する者（以下「暴力団員等」という。）から不当要求行為等（法第９条第</w:t>
      </w:r>
      <w:r>
        <w:rPr>
          <w:rFonts w:ascii="Century" w:eastAsia="ＭＳ 明朝" w:hAnsi="ＭＳ 明朝" w:cs="ＭＳ 明朝"/>
          <w:color w:val="000000"/>
          <w:kern w:val="0"/>
          <w:szCs w:val="21"/>
        </w:rPr>
        <w:t>18</w:t>
      </w:r>
      <w:r>
        <w:rPr>
          <w:rFonts w:ascii="Century" w:eastAsia="ＭＳ 明朝" w:hAnsi="ＭＳ 明朝" w:cs="ＭＳ 明朝" w:hint="eastAsia"/>
          <w:color w:val="000000"/>
          <w:kern w:val="0"/>
          <w:szCs w:val="21"/>
        </w:rPr>
        <w:t>号及び第</w:t>
      </w:r>
      <w:r>
        <w:rPr>
          <w:rFonts w:ascii="Century" w:eastAsia="ＭＳ 明朝" w:hAnsi="ＭＳ 明朝" w:cs="ＭＳ 明朝"/>
          <w:color w:val="000000"/>
          <w:kern w:val="0"/>
          <w:szCs w:val="21"/>
        </w:rPr>
        <w:t>21</w:t>
      </w:r>
      <w:r>
        <w:rPr>
          <w:rFonts w:ascii="Century" w:eastAsia="ＭＳ 明朝" w:hAnsi="ＭＳ 明朝" w:cs="ＭＳ 明朝" w:hint="eastAsia"/>
          <w:color w:val="000000"/>
          <w:kern w:val="0"/>
          <w:szCs w:val="21"/>
        </w:rPr>
        <w:t>号から第</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号までに掲げる行為その他暴力団員等が不正な利益を得る目的で市又は市の職員を対象として行う違法又は不当な行為をいう。）があった場合には、これを拒否するとともに、適正かつ円滑な職務の執行を確保するために必要な措置を講ずるもの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（市の事務及び事業における措置）</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市は、公共工事その他の市の事務又は事業により暴力団を利することとならないよう、暴力団員等を市が実施する入札に参加させない等の必要な措置を講ずるものとする。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（公の施設の使用における措置）</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市長若しくは教育委員会又は地方自治法（昭和</w:t>
      </w:r>
      <w:r>
        <w:rPr>
          <w:rFonts w:ascii="Century" w:eastAsia="ＭＳ 明朝" w:hAnsi="ＭＳ 明朝" w:cs="ＭＳ 明朝"/>
          <w:color w:val="000000"/>
          <w:kern w:val="0"/>
          <w:szCs w:val="21"/>
        </w:rPr>
        <w:t>22</w:t>
      </w:r>
      <w:r>
        <w:rPr>
          <w:rFonts w:ascii="Century" w:eastAsia="ＭＳ 明朝" w:hAnsi="ＭＳ 明朝" w:cs="ＭＳ 明朝" w:hint="eastAsia"/>
          <w:color w:val="000000"/>
          <w:kern w:val="0"/>
          <w:szCs w:val="21"/>
        </w:rPr>
        <w:t>年法津第</w:t>
      </w:r>
      <w:r>
        <w:rPr>
          <w:rFonts w:ascii="Century" w:eastAsia="ＭＳ 明朝" w:hAnsi="ＭＳ 明朝" w:cs="ＭＳ 明朝"/>
          <w:color w:val="000000"/>
          <w:kern w:val="0"/>
          <w:szCs w:val="21"/>
        </w:rPr>
        <w:t>67</w:t>
      </w:r>
      <w:r>
        <w:rPr>
          <w:rFonts w:ascii="Century" w:eastAsia="ＭＳ 明朝" w:hAnsi="ＭＳ 明朝" w:cs="ＭＳ 明朝" w:hint="eastAsia"/>
          <w:color w:val="000000"/>
          <w:kern w:val="0"/>
          <w:szCs w:val="21"/>
        </w:rPr>
        <w:t>号）第</w:t>
      </w:r>
      <w:r>
        <w:rPr>
          <w:rFonts w:ascii="Century" w:eastAsia="ＭＳ 明朝" w:hAnsi="ＭＳ 明朝" w:cs="ＭＳ 明朝"/>
          <w:color w:val="000000"/>
          <w:kern w:val="0"/>
          <w:szCs w:val="21"/>
        </w:rPr>
        <w:t>244</w:t>
      </w:r>
      <w:r>
        <w:rPr>
          <w:rFonts w:ascii="Century" w:eastAsia="ＭＳ 明朝" w:hAnsi="ＭＳ 明朝" w:cs="ＭＳ 明朝" w:hint="eastAsia"/>
          <w:color w:val="000000"/>
          <w:kern w:val="0"/>
          <w:szCs w:val="21"/>
        </w:rPr>
        <w:t>条の２第３項に規定する指定管理者は、市が設置した公の施設が暴力団の活動の用に供され、又はその活動を助長すると認めるときは、当該公の施設の使用を許可せず、又は当該使用の許可を取り消すことができ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（市民及び事業者に対する支援）</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第９条　市は、市民及び事業者が行う暴力団事務所の撤去運動その他の暴力団の排除のための活動を促進するため、情報の提供その他の必要な支援を行うものとする。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市は、市民及び事業者が安心して暴力団の排除のための活動に取り組むことができるよう、警察等と緊密に連携し、必要な支援を行うものとする。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（特別強化地域の指定）</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市長は、市民、事業者及び来訪者にとって、より安全で安心なまちづくりを推進するため、暴力団の排除に係る特別強化地域（以下「特別強化地域」という。）を指定することができる。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市、市民、事業者及び警察等は、特別強化地域において、相互に連携を図りながら、暴力団勢力の進出に関する監視を強化するものとする。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市は、特別強化地域において、地域住民が行う暴力団の排除のための活動の支援の強化を図るものとする。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（青少年に対する指導等）</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青少年の育成に携わる者は、青少年が暴力団の排除の重要性を認識し、暴力団に加入せず、又は暴力団による犯罪の被害を受けないよう、家庭、学校、地域、職域等において、青少年に対し、指導、助言その他の適切な措置を講ずるよう努めるもの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（利益の供与の禁止）</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市民及び事業者は、暴力団の威力を利用する目的又は暴力団の活動若しくは運営に協力する目的で、暴力団員等又は暴力団員等が指定した者に対し、金品その他の財産上の利益の供与をしてはならない。</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（祭礼等からの暴力団の排除）</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祭礼、花火大会、興行その他の公共の場所に多数の者が特定の目的のために一時的に集合するような行事の主催者又はその運営に携わる者（以下「行事主催者等」という。）は、次に掲げる行為をしてはならない。</w:t>
      </w:r>
    </w:p>
    <w:p w:rsidR="00B3447A" w:rsidRDefault="002E645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当該行事に関し、暴力団を利用すること。</w:t>
      </w:r>
    </w:p>
    <w:p w:rsidR="00B3447A" w:rsidRDefault="002E645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当該行事の運営に関与しようとする者が暴力団員等であることを知りながら、これを関与させること。</w:t>
      </w:r>
    </w:p>
    <w:p w:rsidR="00B3447A" w:rsidRDefault="002E6455">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当該行事が行われることとなる場所（行事主催者等が当該行事の運営において管理する区域内に限る。）において、露店、屋台その他これらに類する店（以下「露店等」という。）を出店しようとする者が暴力団員等であることを知りながら、これに露店等を出店させること。</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行事主催者等は、当該行事から暴力団を排除するため、警察等と緊密に連携し、露店等を出店しようとする者が暴力団員等でないことの確認に努めるほか、必要な措置を講じなければならない。</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（広報及び啓発）</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　市は、県及び警察等と連携し、市民及び事業者が暴力団の排除の重要性を認識し、暴力団の排除の気運を醸成するため、広報及び啓発を行うものとする。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（暴力追放推進協議会）</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　暴力団の排除を推進するための施策に関し協議を行うため、岐阜市暴力追放推進協議会（以下「協議会」という。）を設置する。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協議会は、委員</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人以内をもって組織する。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協議会の委員は、暴力団の排除のために活動する市民団体及び事業者の代表者、学識経験者、警察等の職員並びに市職員のうちから市長が委嘱し、又は任命する。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協議会の委員の任期は２年とし、再任を妨げない。ただし、補欠の委員の任期は、前任者の残任期間とする。</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５　前各項に定めるもののほか、協議会の組織及び運営に関して必要な事項は、市長が定める。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（委任）</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　この条例の施行に関し必要な事項は、規則で定める。</w:t>
      </w:r>
    </w:p>
    <w:p w:rsidR="00B3447A" w:rsidRDefault="002E645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年４月１日から施行する。</w:t>
      </w:r>
    </w:p>
    <w:p w:rsidR="00B3447A" w:rsidRDefault="002E6455">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（非常勤の特別職職員の報酬及び費用弁償に関する条例の一部改正）</w:t>
      </w:r>
    </w:p>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非常勤の特別職職員の報酬及び費用弁償に関する条例（昭和</w:t>
      </w:r>
      <w:r>
        <w:rPr>
          <w:rFonts w:ascii="Century" w:eastAsia="ＭＳ 明朝" w:hAnsi="ＭＳ 明朝" w:cs="ＭＳ 明朝"/>
          <w:color w:val="000000"/>
          <w:kern w:val="0"/>
          <w:szCs w:val="21"/>
        </w:rPr>
        <w:t>59</w:t>
      </w:r>
      <w:r>
        <w:rPr>
          <w:rFonts w:ascii="Century" w:eastAsia="ＭＳ 明朝" w:hAnsi="ＭＳ 明朝" w:cs="ＭＳ 明朝" w:hint="eastAsia"/>
          <w:color w:val="000000"/>
          <w:kern w:val="0"/>
          <w:szCs w:val="21"/>
        </w:rPr>
        <w:t>年岐阜市条例第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号）の一部を次のように改正する。</w:t>
      </w:r>
    </w:p>
    <w:p w:rsidR="00B3447A" w:rsidRDefault="002E6455">
      <w:pPr>
        <w:autoSpaceDE w:val="0"/>
        <w:autoSpaceDN w:val="0"/>
        <w:adjustRightInd w:val="0"/>
        <w:spacing w:line="420" w:lineRule="atLeast"/>
        <w:ind w:left="21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次の表の改正後の欄の表中太線で囲まれた部分を加える。</w:t>
      </w:r>
    </w:p>
    <w:tbl>
      <w:tblPr>
        <w:tblW w:w="0" w:type="auto"/>
        <w:tblInd w:w="5" w:type="dxa"/>
        <w:tblLayout w:type="fixed"/>
        <w:tblCellMar>
          <w:left w:w="0" w:type="dxa"/>
          <w:right w:w="0" w:type="dxa"/>
        </w:tblCellMar>
        <w:tblLook w:val="0000" w:firstRow="0" w:lastRow="0" w:firstColumn="0" w:lastColumn="0" w:noHBand="0" w:noVBand="0"/>
      </w:tblPr>
      <w:tblGrid>
        <w:gridCol w:w="340"/>
        <w:gridCol w:w="1275"/>
        <w:gridCol w:w="1615"/>
        <w:gridCol w:w="680"/>
        <w:gridCol w:w="340"/>
        <w:gridCol w:w="340"/>
        <w:gridCol w:w="1275"/>
        <w:gridCol w:w="1615"/>
        <w:gridCol w:w="680"/>
        <w:gridCol w:w="340"/>
      </w:tblGrid>
      <w:tr w:rsidR="00B3447A">
        <w:tc>
          <w:tcPr>
            <w:tcW w:w="4250" w:type="dxa"/>
            <w:gridSpan w:val="5"/>
            <w:tcBorders>
              <w:top w:val="single" w:sz="4" w:space="0" w:color="000000"/>
              <w:left w:val="single" w:sz="4" w:space="0" w:color="000000"/>
              <w:bottom w:val="single" w:sz="4" w:space="0" w:color="000000"/>
              <w:right w:val="single" w:sz="4" w:space="0" w:color="000000"/>
            </w:tcBorders>
          </w:tcPr>
          <w:p w:rsidR="00B3447A" w:rsidRDefault="002E645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改正後</w:t>
            </w:r>
          </w:p>
        </w:tc>
        <w:tc>
          <w:tcPr>
            <w:tcW w:w="4250" w:type="dxa"/>
            <w:gridSpan w:val="5"/>
            <w:tcBorders>
              <w:top w:val="single" w:sz="4" w:space="0" w:color="000000"/>
              <w:left w:val="nil"/>
              <w:bottom w:val="single" w:sz="4" w:space="0" w:color="000000"/>
              <w:right w:val="single" w:sz="4" w:space="0" w:color="000000"/>
            </w:tcBorders>
          </w:tcPr>
          <w:p w:rsidR="00B3447A" w:rsidRDefault="002E645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改正前</w:t>
            </w:r>
          </w:p>
        </w:tc>
      </w:tr>
      <w:tr w:rsidR="00B3447A">
        <w:tc>
          <w:tcPr>
            <w:tcW w:w="4250" w:type="dxa"/>
            <w:gridSpan w:val="5"/>
            <w:tcBorders>
              <w:top w:val="nil"/>
              <w:left w:val="single" w:sz="4" w:space="0" w:color="000000"/>
              <w:bottom w:val="single" w:sz="4" w:space="0" w:color="000000"/>
              <w:right w:val="single" w:sz="4" w:space="0" w:color="000000"/>
            </w:tcBorders>
          </w:tcPr>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条関係）</w:t>
            </w:r>
          </w:p>
        </w:tc>
        <w:tc>
          <w:tcPr>
            <w:tcW w:w="4250" w:type="dxa"/>
            <w:gridSpan w:val="5"/>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条関係）</w:t>
            </w:r>
          </w:p>
        </w:tc>
      </w:tr>
      <w:tr w:rsidR="00B3447A">
        <w:tc>
          <w:tcPr>
            <w:tcW w:w="340" w:type="dxa"/>
            <w:vMerge w:val="restart"/>
            <w:tcBorders>
              <w:top w:val="nil"/>
              <w:left w:val="single" w:sz="4" w:space="0" w:color="000000"/>
              <w:bottom w:val="nil"/>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報酬</w:t>
            </w:r>
          </w:p>
        </w:tc>
        <w:tc>
          <w:tcPr>
            <w:tcW w:w="680"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費用弁償</w:t>
            </w:r>
          </w:p>
        </w:tc>
        <w:tc>
          <w:tcPr>
            <w:tcW w:w="340" w:type="dxa"/>
            <w:vMerge w:val="restart"/>
            <w:tcBorders>
              <w:top w:val="nil"/>
              <w:left w:val="nil"/>
              <w:bottom w:val="nil"/>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tc>
        <w:tc>
          <w:tcPr>
            <w:tcW w:w="340" w:type="dxa"/>
            <w:vMerge w:val="restart"/>
            <w:tcBorders>
              <w:top w:val="nil"/>
              <w:left w:val="nil"/>
              <w:bottom w:val="nil"/>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報酬</w:t>
            </w:r>
          </w:p>
        </w:tc>
        <w:tc>
          <w:tcPr>
            <w:tcW w:w="680"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費用弁償</w:t>
            </w:r>
          </w:p>
        </w:tc>
        <w:tc>
          <w:tcPr>
            <w:tcW w:w="340" w:type="dxa"/>
            <w:vMerge w:val="restart"/>
            <w:tcBorders>
              <w:top w:val="nil"/>
              <w:left w:val="nil"/>
              <w:bottom w:val="nil"/>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tc>
      </w:tr>
      <w:tr w:rsidR="00B3447A">
        <w:tc>
          <w:tcPr>
            <w:tcW w:w="340" w:type="dxa"/>
            <w:vMerge/>
            <w:tcBorders>
              <w:top w:val="nil"/>
              <w:left w:val="single" w:sz="4" w:space="0" w:color="000000"/>
              <w:bottom w:val="nil"/>
              <w:right w:val="single" w:sz="4" w:space="0" w:color="000000"/>
            </w:tcBorders>
          </w:tcPr>
          <w:p w:rsidR="00B3447A" w:rsidRDefault="00B3447A">
            <w:pPr>
              <w:autoSpaceDE w:val="0"/>
              <w:autoSpaceDN w:val="0"/>
              <w:adjustRightInd w:val="0"/>
              <w:jc w:val="left"/>
              <w:rPr>
                <w:rFonts w:ascii="Arial" w:hAnsi="Arial" w:cs="Arial"/>
                <w:kern w:val="0"/>
                <w:sz w:val="24"/>
                <w:szCs w:val="24"/>
              </w:rPr>
            </w:pP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680"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680" w:type="dxa"/>
            <w:vMerge w:val="restart"/>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r>
      <w:tr w:rsidR="00B3447A">
        <w:tc>
          <w:tcPr>
            <w:tcW w:w="340" w:type="dxa"/>
            <w:vMerge/>
            <w:tcBorders>
              <w:top w:val="nil"/>
              <w:left w:val="single" w:sz="4" w:space="0" w:color="000000"/>
              <w:bottom w:val="nil"/>
              <w:right w:val="single" w:sz="4" w:space="0" w:color="000000"/>
            </w:tcBorders>
          </w:tcPr>
          <w:p w:rsidR="00B3447A" w:rsidRDefault="00B3447A">
            <w:pPr>
              <w:autoSpaceDE w:val="0"/>
              <w:autoSpaceDN w:val="0"/>
              <w:adjustRightInd w:val="0"/>
              <w:jc w:val="left"/>
              <w:rPr>
                <w:rFonts w:ascii="Arial" w:hAnsi="Arial" w:cs="Arial"/>
                <w:kern w:val="0"/>
                <w:sz w:val="24"/>
                <w:szCs w:val="24"/>
              </w:rPr>
            </w:pP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くらしの安全推進協議会委員</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日額　　</w:t>
            </w:r>
            <w:r>
              <w:rPr>
                <w:rFonts w:ascii="Century" w:eastAsia="ＭＳ 明朝" w:hAnsi="ＭＳ 明朝" w:cs="ＭＳ 明朝"/>
                <w:color w:val="000000"/>
                <w:kern w:val="0"/>
                <w:szCs w:val="21"/>
              </w:rPr>
              <w:t>9,100</w:t>
            </w:r>
            <w:r>
              <w:rPr>
                <w:rFonts w:ascii="Century" w:eastAsia="ＭＳ 明朝" w:hAnsi="ＭＳ 明朝" w:cs="ＭＳ 明朝" w:hint="eastAsia"/>
                <w:color w:val="000000"/>
                <w:kern w:val="0"/>
                <w:szCs w:val="21"/>
              </w:rPr>
              <w:t>円</w:t>
            </w:r>
          </w:p>
        </w:tc>
        <w:tc>
          <w:tcPr>
            <w:tcW w:w="680" w:type="dxa"/>
            <w:vMerge w:val="restart"/>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1275" w:type="dxa"/>
            <w:vMerge w:val="restart"/>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くらしの安全推進協議会委員</w:t>
            </w:r>
          </w:p>
        </w:tc>
        <w:tc>
          <w:tcPr>
            <w:tcW w:w="1615" w:type="dxa"/>
            <w:vMerge w:val="restart"/>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日額　　</w:t>
            </w:r>
            <w:r>
              <w:rPr>
                <w:rFonts w:ascii="Century" w:eastAsia="ＭＳ 明朝" w:hAnsi="ＭＳ 明朝" w:cs="ＭＳ 明朝"/>
                <w:color w:val="000000"/>
                <w:kern w:val="0"/>
                <w:szCs w:val="21"/>
              </w:rPr>
              <w:t>9,100</w:t>
            </w:r>
            <w:r>
              <w:rPr>
                <w:rFonts w:ascii="Century" w:eastAsia="ＭＳ 明朝" w:hAnsi="ＭＳ 明朝" w:cs="ＭＳ 明朝" w:hint="eastAsia"/>
                <w:color w:val="000000"/>
                <w:kern w:val="0"/>
                <w:szCs w:val="21"/>
              </w:rPr>
              <w:t>円</w:t>
            </w:r>
          </w:p>
        </w:tc>
        <w:tc>
          <w:tcPr>
            <w:tcW w:w="680" w:type="dxa"/>
            <w:vMerge/>
            <w:tcBorders>
              <w:top w:val="nil"/>
              <w:left w:val="nil"/>
              <w:bottom w:val="single" w:sz="4" w:space="0" w:color="000000"/>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r>
      <w:tr w:rsidR="00B3447A">
        <w:tc>
          <w:tcPr>
            <w:tcW w:w="340" w:type="dxa"/>
            <w:vMerge/>
            <w:tcBorders>
              <w:top w:val="nil"/>
              <w:left w:val="single" w:sz="4" w:space="0" w:color="000000"/>
              <w:bottom w:val="nil"/>
              <w:right w:val="single" w:sz="4" w:space="0" w:color="000000"/>
            </w:tcBorders>
          </w:tcPr>
          <w:p w:rsidR="00B3447A" w:rsidRDefault="00B3447A">
            <w:pPr>
              <w:autoSpaceDE w:val="0"/>
              <w:autoSpaceDN w:val="0"/>
              <w:adjustRightInd w:val="0"/>
              <w:jc w:val="left"/>
              <w:rPr>
                <w:rFonts w:ascii="Arial" w:hAnsi="Arial" w:cs="Arial"/>
                <w:kern w:val="0"/>
                <w:sz w:val="24"/>
                <w:szCs w:val="24"/>
              </w:rPr>
            </w:pP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暴力追放推進協議会委員</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日額　　</w:t>
            </w:r>
            <w:r>
              <w:rPr>
                <w:rFonts w:ascii="Century" w:eastAsia="ＭＳ 明朝" w:hAnsi="ＭＳ 明朝" w:cs="ＭＳ 明朝"/>
                <w:color w:val="000000"/>
                <w:kern w:val="0"/>
                <w:szCs w:val="21"/>
              </w:rPr>
              <w:t>9,100</w:t>
            </w:r>
            <w:r>
              <w:rPr>
                <w:rFonts w:ascii="Century" w:eastAsia="ＭＳ 明朝" w:hAnsi="ＭＳ 明朝" w:cs="ＭＳ 明朝" w:hint="eastAsia"/>
                <w:color w:val="000000"/>
                <w:kern w:val="0"/>
                <w:szCs w:val="21"/>
              </w:rPr>
              <w:t>円</w:t>
            </w:r>
          </w:p>
        </w:tc>
        <w:tc>
          <w:tcPr>
            <w:tcW w:w="680" w:type="dxa"/>
            <w:vMerge/>
            <w:tcBorders>
              <w:top w:val="nil"/>
              <w:left w:val="nil"/>
              <w:bottom w:val="single" w:sz="4" w:space="0" w:color="000000"/>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1275" w:type="dxa"/>
            <w:vMerge/>
            <w:tcBorders>
              <w:top w:val="nil"/>
              <w:left w:val="nil"/>
              <w:bottom w:val="single" w:sz="4" w:space="0" w:color="000000"/>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1615" w:type="dxa"/>
            <w:vMerge/>
            <w:tcBorders>
              <w:top w:val="nil"/>
              <w:left w:val="nil"/>
              <w:bottom w:val="single" w:sz="4" w:space="0" w:color="000000"/>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680" w:type="dxa"/>
            <w:vMerge/>
            <w:tcBorders>
              <w:top w:val="nil"/>
              <w:left w:val="nil"/>
              <w:bottom w:val="single" w:sz="4" w:space="0" w:color="000000"/>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r>
      <w:tr w:rsidR="00B3447A">
        <w:tc>
          <w:tcPr>
            <w:tcW w:w="340" w:type="dxa"/>
            <w:vMerge/>
            <w:tcBorders>
              <w:top w:val="nil"/>
              <w:left w:val="single" w:sz="4" w:space="0" w:color="000000"/>
              <w:bottom w:val="nil"/>
              <w:right w:val="single" w:sz="4" w:space="0" w:color="000000"/>
            </w:tcBorders>
          </w:tcPr>
          <w:p w:rsidR="00B3447A" w:rsidRDefault="00B3447A">
            <w:pPr>
              <w:autoSpaceDE w:val="0"/>
              <w:autoSpaceDN w:val="0"/>
              <w:adjustRightInd w:val="0"/>
              <w:jc w:val="left"/>
              <w:rPr>
                <w:rFonts w:ascii="Arial" w:hAnsi="Arial" w:cs="Arial"/>
                <w:kern w:val="0"/>
                <w:sz w:val="24"/>
                <w:szCs w:val="24"/>
              </w:rPr>
            </w:pP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680" w:type="dxa"/>
            <w:vMerge/>
            <w:tcBorders>
              <w:top w:val="nil"/>
              <w:left w:val="nil"/>
              <w:bottom w:val="single" w:sz="4" w:space="0" w:color="000000"/>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680" w:type="dxa"/>
            <w:vMerge/>
            <w:tcBorders>
              <w:top w:val="nil"/>
              <w:left w:val="nil"/>
              <w:bottom w:val="single" w:sz="4" w:space="0" w:color="000000"/>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r>
      <w:tr w:rsidR="00B3447A">
        <w:tc>
          <w:tcPr>
            <w:tcW w:w="340" w:type="dxa"/>
            <w:vMerge/>
            <w:tcBorders>
              <w:top w:val="nil"/>
              <w:left w:val="single" w:sz="4" w:space="0" w:color="000000"/>
              <w:bottom w:val="nil"/>
              <w:right w:val="single" w:sz="4" w:space="0" w:color="000000"/>
            </w:tcBorders>
          </w:tcPr>
          <w:p w:rsidR="00B3447A" w:rsidRDefault="00B3447A">
            <w:pPr>
              <w:autoSpaceDE w:val="0"/>
              <w:autoSpaceDN w:val="0"/>
              <w:adjustRightInd w:val="0"/>
              <w:jc w:val="left"/>
              <w:rPr>
                <w:rFonts w:ascii="Arial" w:hAnsi="Arial" w:cs="Arial"/>
                <w:kern w:val="0"/>
                <w:sz w:val="24"/>
                <w:szCs w:val="24"/>
              </w:rPr>
            </w:pP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680"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c>
          <w:tcPr>
            <w:tcW w:w="127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1615"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680" w:type="dxa"/>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（略）</w:t>
            </w:r>
          </w:p>
        </w:tc>
        <w:tc>
          <w:tcPr>
            <w:tcW w:w="340" w:type="dxa"/>
            <w:vMerge/>
            <w:tcBorders>
              <w:top w:val="nil"/>
              <w:left w:val="nil"/>
              <w:bottom w:val="nil"/>
              <w:right w:val="single" w:sz="4" w:space="0" w:color="000000"/>
            </w:tcBorders>
          </w:tcPr>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p>
        </w:tc>
      </w:tr>
      <w:tr w:rsidR="00B3447A">
        <w:tc>
          <w:tcPr>
            <w:tcW w:w="4250" w:type="dxa"/>
            <w:gridSpan w:val="5"/>
            <w:tcBorders>
              <w:top w:val="nil"/>
              <w:left w:val="single" w:sz="4" w:space="0" w:color="000000"/>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tc>
        <w:tc>
          <w:tcPr>
            <w:tcW w:w="4250" w:type="dxa"/>
            <w:gridSpan w:val="5"/>
            <w:tcBorders>
              <w:top w:val="nil"/>
              <w:left w:val="nil"/>
              <w:bottom w:val="single" w:sz="4" w:space="0" w:color="000000"/>
              <w:right w:val="single" w:sz="4" w:space="0" w:color="000000"/>
            </w:tcBorders>
          </w:tcPr>
          <w:p w:rsidR="00B3447A" w:rsidRDefault="002E645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p>
        </w:tc>
      </w:tr>
    </w:tbl>
    <w:p w:rsidR="00B3447A" w:rsidRDefault="002E6455">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w:t>
      </w:r>
      <w:r>
        <w:rPr>
          <w:rFonts w:ascii="Century" w:eastAsia="ＭＳ 明朝" w:hAnsi="ＭＳ 明朝" w:cs="ＭＳ 明朝"/>
          <w:color w:val="000000"/>
          <w:kern w:val="0"/>
          <w:szCs w:val="21"/>
        </w:rPr>
        <w:t>24</w:t>
      </w:r>
      <w:r>
        <w:rPr>
          <w:rFonts w:ascii="Century" w:eastAsia="ＭＳ 明朝" w:hAnsi="ＭＳ 明朝" w:cs="ＭＳ 明朝" w:hint="eastAsia"/>
          <w:color w:val="000000"/>
          <w:kern w:val="0"/>
          <w:szCs w:val="21"/>
        </w:rPr>
        <w:t>年条例第</w:t>
      </w:r>
      <w:r>
        <w:rPr>
          <w:rFonts w:ascii="Century" w:eastAsia="ＭＳ 明朝" w:hAnsi="ＭＳ 明朝" w:cs="ＭＳ 明朝"/>
          <w:color w:val="000000"/>
          <w:kern w:val="0"/>
          <w:szCs w:val="21"/>
        </w:rPr>
        <w:t>80</w:t>
      </w:r>
      <w:r>
        <w:rPr>
          <w:rFonts w:ascii="Century" w:eastAsia="ＭＳ 明朝" w:hAnsi="ＭＳ 明朝" w:cs="ＭＳ 明朝" w:hint="eastAsia"/>
          <w:color w:val="000000"/>
          <w:kern w:val="0"/>
          <w:szCs w:val="21"/>
        </w:rPr>
        <w:t>号）</w:t>
      </w:r>
    </w:p>
    <w:p w:rsidR="00B3447A" w:rsidRDefault="002E645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rsidR="00B3447A" w:rsidRDefault="00B3447A">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B3447A" w:rsidSect="00145636">
      <w:footerReference w:type="default" r:id="rId7"/>
      <w:pgSz w:w="11905" w:h="16837" w:code="9"/>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7A" w:rsidRDefault="002E6455">
      <w:r>
        <w:separator/>
      </w:r>
    </w:p>
  </w:endnote>
  <w:endnote w:type="continuationSeparator" w:id="0">
    <w:p w:rsidR="00B3447A" w:rsidRDefault="002E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47A" w:rsidRDefault="002E6455">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A979AF">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7A" w:rsidRDefault="002E6455">
      <w:r>
        <w:separator/>
      </w:r>
    </w:p>
  </w:footnote>
  <w:footnote w:type="continuationSeparator" w:id="0">
    <w:p w:rsidR="00B3447A" w:rsidRDefault="002E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36"/>
    <w:rsid w:val="00145636"/>
    <w:rsid w:val="002E6455"/>
    <w:rsid w:val="00A979AF"/>
    <w:rsid w:val="00B34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79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79A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79A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79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3146</Words>
  <Characters>246</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RENTAI</cp:lastModifiedBy>
  <cp:revision>3</cp:revision>
  <cp:lastPrinted>2017-01-27T07:17:00Z</cp:lastPrinted>
  <dcterms:created xsi:type="dcterms:W3CDTF">2017-01-27T06:15:00Z</dcterms:created>
  <dcterms:modified xsi:type="dcterms:W3CDTF">2017-01-27T07:17:00Z</dcterms:modified>
</cp:coreProperties>
</file>