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02161DF3" w:rsidR="00655704" w:rsidRDefault="00407371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5D03317E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407371" w:rsidRPr="00407371">
        <w:rPr>
          <w:rFonts w:hint="eastAsia"/>
          <w:sz w:val="24"/>
        </w:rPr>
        <w:t>岐阜市民病院受電室Ａ系コンデンサ盤</w:t>
      </w:r>
      <w:r w:rsidR="00C54500" w:rsidRPr="00C54500">
        <w:rPr>
          <w:rFonts w:hint="eastAsia"/>
          <w:sz w:val="24"/>
          <w:szCs w:val="24"/>
        </w:rPr>
        <w:t>改修</w:t>
      </w:r>
      <w:r w:rsidR="00407371" w:rsidRPr="00407371">
        <w:rPr>
          <w:rFonts w:hint="eastAsia"/>
          <w:sz w:val="24"/>
        </w:rPr>
        <w:t>工事</w:t>
      </w:r>
    </w:p>
    <w:p w14:paraId="66838C71" w14:textId="77777777" w:rsidR="001B393E" w:rsidRPr="008C49E0" w:rsidRDefault="001B393E" w:rsidP="00CB40CB">
      <w:pPr>
        <w:wordWrap w:val="0"/>
        <w:spacing w:line="379" w:lineRule="exact"/>
        <w:rPr>
          <w:sz w:val="24"/>
        </w:rPr>
      </w:pPr>
    </w:p>
    <w:p w14:paraId="5FAFACD5" w14:textId="66C060A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407371" w:rsidRPr="00407371">
        <w:rPr>
          <w:rFonts w:hint="eastAsia"/>
          <w:sz w:val="24"/>
          <w:szCs w:val="22"/>
        </w:rPr>
        <w:t>岐阜市鹿島町7丁目1番地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014AD6A7" w:rsidR="002C6DD0" w:rsidRPr="00747431" w:rsidRDefault="00D81D4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74EB002C" w:rsidR="002C6DD0" w:rsidRPr="00747431" w:rsidRDefault="00407371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6090A63A" w:rsidR="00821C73" w:rsidRDefault="00407371" w:rsidP="00821C73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821C73"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5DA52EB" w14:textId="54105456" w:rsidR="008C49E0" w:rsidRDefault="008C49E0" w:rsidP="008C49E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407371" w:rsidRPr="00407371">
        <w:rPr>
          <w:rFonts w:hint="eastAsia"/>
          <w:sz w:val="24"/>
        </w:rPr>
        <w:t>岐阜市民病院受電室Ａ系コンデンサ盤</w:t>
      </w:r>
      <w:r w:rsidR="00C54500" w:rsidRPr="00C54500">
        <w:rPr>
          <w:rFonts w:hint="eastAsia"/>
          <w:sz w:val="24"/>
          <w:szCs w:val="24"/>
        </w:rPr>
        <w:t>改修</w:t>
      </w:r>
      <w:r w:rsidR="00407371" w:rsidRPr="00407371">
        <w:rPr>
          <w:rFonts w:hint="eastAsia"/>
          <w:sz w:val="24"/>
        </w:rPr>
        <w:t>工事</w:t>
      </w:r>
    </w:p>
    <w:p w14:paraId="23ABA7F6" w14:textId="77777777" w:rsidR="008C49E0" w:rsidRPr="008C49E0" w:rsidRDefault="008C49E0" w:rsidP="008C49E0">
      <w:pPr>
        <w:wordWrap w:val="0"/>
        <w:spacing w:line="379" w:lineRule="exact"/>
        <w:rPr>
          <w:sz w:val="24"/>
        </w:rPr>
      </w:pPr>
    </w:p>
    <w:p w14:paraId="0B5750C0" w14:textId="5E8E6B75" w:rsidR="008C49E0" w:rsidRDefault="008C49E0" w:rsidP="008C49E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407371" w:rsidRPr="00407371">
        <w:rPr>
          <w:rFonts w:hint="eastAsia"/>
          <w:sz w:val="24"/>
          <w:szCs w:val="22"/>
        </w:rPr>
        <w:t>岐阜市鹿島町7丁目1番地</w:t>
      </w:r>
    </w:p>
    <w:p w14:paraId="405BE77C" w14:textId="77777777" w:rsidR="00092E1C" w:rsidRPr="008C49E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0302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07371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54500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81D4D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河口　利加子</cp:lastModifiedBy>
  <cp:revision>13</cp:revision>
  <cp:lastPrinted>2024-05-13T07:40:00Z</cp:lastPrinted>
  <dcterms:created xsi:type="dcterms:W3CDTF">2024-03-19T06:13:00Z</dcterms:created>
  <dcterms:modified xsi:type="dcterms:W3CDTF">2024-05-13T07:41:00Z</dcterms:modified>
</cp:coreProperties>
</file>