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762943" w:rsidRDefault="00B02B95" w:rsidP="0076294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岐阜</w:t>
            </w:r>
            <w:r w:rsidR="00067BB5">
              <w:rPr>
                <w:rFonts w:ascii="ＭＳ 明朝" w:eastAsia="ＭＳ 明朝" w:hAnsi="ＭＳ 明朝" w:hint="eastAsia"/>
                <w:sz w:val="24"/>
              </w:rPr>
              <w:t>小学校ほか72施設で</w:t>
            </w:r>
            <w:r>
              <w:rPr>
                <w:rFonts w:ascii="ＭＳ 明朝" w:eastAsia="ＭＳ 明朝" w:hAnsi="ＭＳ 明朝" w:hint="eastAsia"/>
                <w:sz w:val="24"/>
              </w:rPr>
              <w:t>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067BB5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067B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067B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762943" w:rsidRDefault="006F5D43" w:rsidP="00DD4C05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B02B95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067BB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小学校ほか</w:t>
      </w:r>
      <w:r w:rsidR="00067BB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72</w:t>
      </w:r>
      <w:r w:rsidR="00067BB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B02B95">
        <w:rPr>
          <w:rFonts w:hint="eastAsia"/>
          <w:sz w:val="24"/>
          <w:szCs w:val="24"/>
        </w:rPr>
        <w:t xml:space="preserve">　</w:t>
      </w:r>
      <w:r w:rsidR="00067BB5" w:rsidRPr="00067BB5">
        <w:rPr>
          <w:rFonts w:asciiTheme="minorEastAsia" w:hAnsiTheme="minorEastAsia" w:hint="eastAsia"/>
          <w:sz w:val="24"/>
          <w:szCs w:val="24"/>
        </w:rPr>
        <w:t>14,433,161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067BB5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B02B95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067BB5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067BB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  <w:bookmarkStart w:id="0" w:name="_GoBack"/>
      <w:bookmarkEnd w:id="0"/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6AA2"/>
    <w:rsid w:val="000574AE"/>
    <w:rsid w:val="000637DC"/>
    <w:rsid w:val="00067BB5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04E79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0D46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2943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91F6D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2B95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C05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2E76F22C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7BFE-4EAA-4832-8C0C-919FB9A2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12</cp:revision>
  <cp:lastPrinted>2020-10-13T02:45:00Z</cp:lastPrinted>
  <dcterms:created xsi:type="dcterms:W3CDTF">2021-08-04T06:12:00Z</dcterms:created>
  <dcterms:modified xsi:type="dcterms:W3CDTF">2021-09-23T05:46:00Z</dcterms:modified>
</cp:coreProperties>
</file>