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3F" w:rsidRDefault="00431074">
      <w:r>
        <w:rPr>
          <w:rFonts w:hint="eastAsia"/>
        </w:rPr>
        <w:t>第５号様式</w:t>
      </w:r>
      <w:bookmarkStart w:id="0" w:name="_GoBack"/>
      <w:bookmarkEnd w:id="0"/>
    </w:p>
    <w:p w:rsidR="00277D3F" w:rsidRDefault="00277D3F"/>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D86626"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72D4425" wp14:editId="6E9BFB75">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D4425"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10AA44C" wp14:editId="404DEDEC">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02264">
                                  <w:pPr>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0AA44C"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271EA6" w:rsidP="00C44124">
            <w:pPr>
              <w:spacing w:line="280" w:lineRule="exact"/>
              <w:ind w:left="23"/>
              <w:jc w:val="left"/>
              <w:rPr>
                <w:rFonts w:asciiTheme="minorEastAsia" w:hAnsiTheme="minorEastAsia"/>
              </w:rPr>
            </w:pPr>
            <w:r>
              <w:rPr>
                <w:rFonts w:asciiTheme="minorEastAsia" w:hAnsiTheme="minorEastAsia" w:hint="eastAsia"/>
              </w:rPr>
              <w:t xml:space="preserve">　岐　阜　市　長</w:t>
            </w:r>
            <w:r w:rsidR="00035E6D" w:rsidRPr="00EB4091">
              <w:rPr>
                <w:rFonts w:asciiTheme="minorEastAsia" w:hAnsiTheme="minorEastAsia" w:hint="eastAsia"/>
              </w:rPr>
              <w:t xml:space="preserve">　　　　　　　　　　　　　　　　　　　　　　年　　月　　日</w:t>
            </w:r>
          </w:p>
          <w:p w:rsidR="00EB4091" w:rsidRPr="00271EA6"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B937E1">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lastRenderedPageBreak/>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w:t>
            </w:r>
            <w:r w:rsidR="009442DE">
              <w:rPr>
                <w:rFonts w:ascii="ＭＳ 明朝" w:eastAsia="ＭＳ 明朝" w:hAnsi="ＭＳ 明朝" w:cs="ＭＳ 明朝" w:hint="eastAsia"/>
                <w:color w:val="000000"/>
                <w:kern w:val="0"/>
                <w:sz w:val="18"/>
                <w:szCs w:val="18"/>
              </w:rPr>
              <w:t>5</w:t>
            </w:r>
            <w:r w:rsidRPr="00577344">
              <w:rPr>
                <w:rFonts w:ascii="ＭＳ 明朝" w:eastAsia="ＭＳ 明朝" w:hAnsi="ＭＳ 明朝" w:cs="ＭＳ 明朝" w:hint="eastAsia"/>
                <w:color w:val="000000"/>
                <w:kern w:val="0"/>
                <w:sz w:val="18"/>
                <w:szCs w:val="18"/>
              </w:rPr>
              <w:t>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　公認心理師法（平成27年法律第68号）</w:t>
            </w:r>
          </w:p>
          <w:p w:rsidR="009442DE" w:rsidRDefault="009442DE" w:rsidP="009442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w:t>
            </w:r>
          </w:p>
          <w:p w:rsidR="009442DE" w:rsidRDefault="009442DE" w:rsidP="009442DE">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法律第110号）</w:t>
            </w:r>
          </w:p>
          <w:p w:rsidR="009442DE" w:rsidRDefault="009442DE" w:rsidP="009442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32　臨床研究法（平成29年法律第16号）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1346D8"/>
    <w:rsid w:val="001F13EC"/>
    <w:rsid w:val="00201F51"/>
    <w:rsid w:val="00203B07"/>
    <w:rsid w:val="00252575"/>
    <w:rsid w:val="00271EA6"/>
    <w:rsid w:val="00277D3F"/>
    <w:rsid w:val="00285390"/>
    <w:rsid w:val="00293041"/>
    <w:rsid w:val="003239F7"/>
    <w:rsid w:val="003658CA"/>
    <w:rsid w:val="00387203"/>
    <w:rsid w:val="003F3932"/>
    <w:rsid w:val="00420653"/>
    <w:rsid w:val="00431074"/>
    <w:rsid w:val="00473088"/>
    <w:rsid w:val="004D200F"/>
    <w:rsid w:val="00602264"/>
    <w:rsid w:val="0066773D"/>
    <w:rsid w:val="00686406"/>
    <w:rsid w:val="006E012E"/>
    <w:rsid w:val="00701F00"/>
    <w:rsid w:val="007046BD"/>
    <w:rsid w:val="00710D65"/>
    <w:rsid w:val="00727B17"/>
    <w:rsid w:val="007C5D5C"/>
    <w:rsid w:val="00831C93"/>
    <w:rsid w:val="008A1253"/>
    <w:rsid w:val="008E423E"/>
    <w:rsid w:val="008F1705"/>
    <w:rsid w:val="008F4C18"/>
    <w:rsid w:val="009442DE"/>
    <w:rsid w:val="009D1807"/>
    <w:rsid w:val="009E0AB9"/>
    <w:rsid w:val="00A3655C"/>
    <w:rsid w:val="00A63EE4"/>
    <w:rsid w:val="00A70B29"/>
    <w:rsid w:val="00AB5C10"/>
    <w:rsid w:val="00B50237"/>
    <w:rsid w:val="00B724B7"/>
    <w:rsid w:val="00B914A5"/>
    <w:rsid w:val="00B937E1"/>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B456063-9AD2-497A-A600-6C845DF5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9900-5560-45BC-A2F8-03E6A952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Windows ユーザー</cp:lastModifiedBy>
  <cp:revision>5</cp:revision>
  <cp:lastPrinted>2020-01-14T02:07:00Z</cp:lastPrinted>
  <dcterms:created xsi:type="dcterms:W3CDTF">2020-01-14T02:06:00Z</dcterms:created>
  <dcterms:modified xsi:type="dcterms:W3CDTF">2021-03-10T01:53:00Z</dcterms:modified>
  <cp:category>加藤 昭宏</cp:category>
  <cp:contentStatus>加藤 昭宏</cp:contentStatus>
  <dc:language>加藤 昭宏</dc:language>
</cp:coreProperties>
</file>