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1" w:type="dxa"/>
        <w:tblInd w:w="99" w:type="dxa"/>
        <w:tblCellMar>
          <w:left w:w="99" w:type="dxa"/>
          <w:right w:w="99" w:type="dxa"/>
        </w:tblCellMar>
        <w:tblLook w:val="04A0"/>
      </w:tblPr>
      <w:tblGrid>
        <w:gridCol w:w="1278"/>
        <w:gridCol w:w="1795"/>
        <w:gridCol w:w="1083"/>
        <w:gridCol w:w="1083"/>
        <w:gridCol w:w="1083"/>
        <w:gridCol w:w="1616"/>
        <w:gridCol w:w="563"/>
      </w:tblGrid>
      <w:tr w:rsidR="001277DA" w:rsidRPr="001277DA" w:rsidTr="001277DA">
        <w:trPr>
          <w:trHeight w:val="34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  <w:r w:rsidRPr="001277D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家庭内事故にあった人の年齢別割合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277DA" w:rsidRPr="001277DA" w:rsidTr="001277DA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40005</wp:posOffset>
                  </wp:positionV>
                  <wp:extent cx="5543550" cy="3429000"/>
                  <wp:effectExtent l="19050" t="0" r="19050" b="0"/>
                  <wp:wrapNone/>
                  <wp:docPr id="2" name="グラフ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anchor>
              </w:drawing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277DA" w:rsidRPr="001277DA" w:rsidTr="001277DA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</w:tblGrid>
            <w:tr w:rsidR="001277DA" w:rsidRPr="001277DA">
              <w:trPr>
                <w:trHeight w:val="27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277DA" w:rsidRPr="001277DA" w:rsidRDefault="001277DA" w:rsidP="001277D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277DA" w:rsidRPr="001277DA" w:rsidTr="001277DA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277DA" w:rsidRPr="001277DA" w:rsidTr="001277DA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277DA" w:rsidRPr="001277DA" w:rsidTr="001277DA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277DA" w:rsidRPr="001277DA" w:rsidTr="001277DA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277DA" w:rsidRPr="001277DA" w:rsidTr="001277DA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277DA" w:rsidRPr="001277DA" w:rsidTr="001277DA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277DA" w:rsidRPr="001277DA" w:rsidTr="001277DA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277DA" w:rsidRPr="001277DA" w:rsidTr="001277DA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277DA" w:rsidRPr="001277DA" w:rsidTr="001277DA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277DA" w:rsidRPr="001277DA" w:rsidTr="001277DA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277DA" w:rsidRPr="001277DA" w:rsidTr="001277DA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277DA" w:rsidRPr="001277DA" w:rsidTr="001277DA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277DA" w:rsidRPr="001277DA" w:rsidTr="001277DA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277DA" w:rsidRPr="001277DA" w:rsidTr="001277DA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277DA" w:rsidRPr="001277DA" w:rsidTr="001277DA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277DA" w:rsidRPr="001277DA" w:rsidTr="001277DA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277DA" w:rsidRPr="001277DA" w:rsidTr="001277DA">
        <w:trPr>
          <w:trHeight w:val="270"/>
        </w:trPr>
        <w:tc>
          <w:tcPr>
            <w:tcW w:w="85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Pr="001277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１９９９年６月４日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1277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国民生活センターによる家庭内事故に関する調査報告書より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集計）</w:t>
            </w:r>
          </w:p>
        </w:tc>
      </w:tr>
      <w:tr w:rsidR="001277DA" w:rsidRPr="001277DA" w:rsidTr="001277DA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A" w:rsidRPr="001277DA" w:rsidRDefault="001277DA" w:rsidP="00127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932D26" w:rsidRDefault="00932D26"/>
    <w:p w:rsidR="001277DA" w:rsidRDefault="001277DA"/>
    <w:p w:rsidR="003301DD" w:rsidRDefault="003301DD"/>
    <w:p w:rsidR="003301DD" w:rsidRDefault="003301DD"/>
    <w:p w:rsidR="003301DD" w:rsidRDefault="003301DD"/>
    <w:p w:rsidR="003301DD" w:rsidRDefault="003301DD"/>
    <w:p w:rsidR="003301DD" w:rsidRDefault="003301DD"/>
    <w:p w:rsidR="003301DD" w:rsidRDefault="003301DD"/>
    <w:p w:rsidR="003301DD" w:rsidRDefault="003301DD"/>
    <w:p w:rsidR="003301DD" w:rsidRDefault="003301DD"/>
    <w:p w:rsidR="003301DD" w:rsidRDefault="003301DD"/>
    <w:p w:rsidR="003301DD" w:rsidRDefault="003301DD"/>
    <w:p w:rsidR="003301DD" w:rsidRDefault="003301DD"/>
    <w:p w:rsidR="003301DD" w:rsidRDefault="003301DD"/>
    <w:p w:rsidR="003301DD" w:rsidRDefault="003301DD"/>
    <w:p w:rsidR="003301DD" w:rsidRDefault="003301DD"/>
    <w:p w:rsidR="003301DD" w:rsidRDefault="003301DD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＜</w:t>
      </w:r>
      <w:r w:rsidRPr="003301DD">
        <w:rPr>
          <w:rFonts w:asciiTheme="majorEastAsia" w:eastAsiaTheme="majorEastAsia" w:hAnsiTheme="majorEastAsia" w:hint="eastAsia"/>
          <w:b/>
          <w:sz w:val="24"/>
          <w:szCs w:val="24"/>
        </w:rPr>
        <w:t>指導者用　参考資料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＞</w:t>
      </w:r>
    </w:p>
    <w:p w:rsidR="003301DD" w:rsidRDefault="003301DD">
      <w:pPr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8712" w:type="dxa"/>
        <w:tblInd w:w="99" w:type="dxa"/>
        <w:tblCellMar>
          <w:left w:w="99" w:type="dxa"/>
          <w:right w:w="99" w:type="dxa"/>
        </w:tblCellMar>
        <w:tblLook w:val="04A0"/>
      </w:tblPr>
      <w:tblGrid>
        <w:gridCol w:w="1278"/>
        <w:gridCol w:w="1084"/>
        <w:gridCol w:w="1084"/>
        <w:gridCol w:w="1084"/>
        <w:gridCol w:w="1084"/>
        <w:gridCol w:w="1096"/>
        <w:gridCol w:w="1096"/>
        <w:gridCol w:w="1096"/>
      </w:tblGrid>
      <w:tr w:rsidR="003301DD" w:rsidRPr="003301DD" w:rsidTr="003301DD">
        <w:trPr>
          <w:trHeight w:val="34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3301D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　　　　</w:t>
            </w:r>
            <w:r w:rsidRPr="003301D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家庭内事故の内容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301DD" w:rsidRPr="003301DD" w:rsidTr="003301DD">
        <w:trPr>
          <w:trHeight w:val="27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76200</wp:posOffset>
                  </wp:positionV>
                  <wp:extent cx="5076825" cy="3305175"/>
                  <wp:effectExtent l="0" t="0" r="635" b="0"/>
                  <wp:wrapNone/>
                  <wp:docPr id="3" name="グラフ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</w:tblGrid>
            <w:tr w:rsidR="003301DD" w:rsidRPr="003301DD">
              <w:trPr>
                <w:trHeight w:val="27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01DD" w:rsidRPr="003301DD" w:rsidRDefault="003301DD" w:rsidP="003301D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301DD" w:rsidRPr="003301DD" w:rsidTr="003301DD">
        <w:trPr>
          <w:trHeight w:val="27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301DD" w:rsidRPr="003301DD" w:rsidTr="003301DD">
        <w:trPr>
          <w:trHeight w:val="27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301DD" w:rsidRPr="003301DD" w:rsidTr="003301DD">
        <w:trPr>
          <w:trHeight w:val="27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301DD" w:rsidRPr="003301DD" w:rsidTr="003301DD">
        <w:trPr>
          <w:trHeight w:val="27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301DD" w:rsidRPr="003301DD" w:rsidTr="003301DD">
        <w:trPr>
          <w:trHeight w:val="27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301DD" w:rsidRPr="003301DD" w:rsidTr="003301DD">
        <w:trPr>
          <w:trHeight w:val="27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301DD" w:rsidRPr="003301DD" w:rsidTr="003301DD">
        <w:trPr>
          <w:trHeight w:val="27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301DD" w:rsidRPr="003301DD" w:rsidTr="003301DD">
        <w:trPr>
          <w:trHeight w:val="27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301DD" w:rsidRPr="003301DD" w:rsidTr="003301DD">
        <w:trPr>
          <w:trHeight w:val="27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301DD" w:rsidRPr="003301DD" w:rsidTr="003301DD">
        <w:trPr>
          <w:trHeight w:val="27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301DD" w:rsidRPr="003301DD" w:rsidTr="003301DD">
        <w:trPr>
          <w:trHeight w:val="27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301DD" w:rsidRPr="003301DD" w:rsidTr="003301DD">
        <w:trPr>
          <w:trHeight w:val="27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301DD" w:rsidRPr="003301DD" w:rsidTr="003301DD">
        <w:trPr>
          <w:trHeight w:val="27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301DD" w:rsidRPr="003301DD" w:rsidTr="003301DD">
        <w:trPr>
          <w:trHeight w:val="27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301DD" w:rsidRPr="003301DD" w:rsidTr="003301DD">
        <w:trPr>
          <w:trHeight w:val="27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301DD" w:rsidRPr="003301DD" w:rsidTr="003301DD">
        <w:trPr>
          <w:trHeight w:val="27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301DD" w:rsidRPr="003301DD" w:rsidTr="003301DD">
        <w:trPr>
          <w:trHeight w:val="27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301DD" w:rsidRPr="003301DD" w:rsidTr="003301DD">
        <w:trPr>
          <w:trHeight w:val="27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301DD" w:rsidRPr="003301DD" w:rsidTr="003301DD">
        <w:trPr>
          <w:trHeight w:val="27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301DD" w:rsidRPr="003301DD" w:rsidTr="003301DD">
        <w:trPr>
          <w:trHeight w:val="270"/>
        </w:trPr>
        <w:tc>
          <w:tcPr>
            <w:tcW w:w="7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301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１９９９年６月４日国民生活センター発表の家庭内事故に関する調査報告書より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301DD" w:rsidRPr="003301DD" w:rsidTr="003301DD">
        <w:trPr>
          <w:trHeight w:val="27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DD" w:rsidRPr="003301DD" w:rsidRDefault="003301DD" w:rsidP="00330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3301DD" w:rsidRPr="003301DD" w:rsidRDefault="003301DD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1277DA" w:rsidRPr="00FC114F" w:rsidRDefault="00FC114F">
      <w:pPr>
        <w:rPr>
          <w:rFonts w:hint="eastAsia"/>
          <w:b/>
          <w:sz w:val="24"/>
          <w:szCs w:val="24"/>
        </w:rPr>
      </w:pPr>
      <w:r w:rsidRPr="00FC114F">
        <w:rPr>
          <w:rFonts w:hint="eastAsia"/>
          <w:b/>
          <w:sz w:val="24"/>
          <w:szCs w:val="24"/>
        </w:rPr>
        <w:t>家庭内事故：不慮の事故</w:t>
      </w:r>
    </w:p>
    <w:p w:rsidR="00FC114F" w:rsidRPr="00FC114F" w:rsidRDefault="00FC114F" w:rsidP="00FC114F">
      <w:pPr>
        <w:ind w:left="240" w:hangingChars="100" w:hanging="240"/>
        <w:rPr>
          <w:rFonts w:hint="eastAsia"/>
          <w:sz w:val="24"/>
          <w:szCs w:val="24"/>
        </w:rPr>
      </w:pPr>
      <w:r w:rsidRPr="00FC114F">
        <w:rPr>
          <w:rFonts w:hint="eastAsia"/>
          <w:sz w:val="24"/>
          <w:szCs w:val="24"/>
        </w:rPr>
        <w:t>・厚生労働省の発表の人口動態統計によると、幼児においては、交通事故死よりも家庭内事故死の方が多い。</w:t>
      </w:r>
    </w:p>
    <w:p w:rsidR="00FC114F" w:rsidRPr="00FC114F" w:rsidRDefault="00FC114F" w:rsidP="00FC114F">
      <w:pPr>
        <w:ind w:left="240" w:hangingChars="100" w:hanging="240"/>
        <w:rPr>
          <w:sz w:val="24"/>
          <w:szCs w:val="24"/>
        </w:rPr>
      </w:pPr>
      <w:r w:rsidRPr="00FC114F">
        <w:rPr>
          <w:rFonts w:hint="eastAsia"/>
          <w:sz w:val="24"/>
          <w:szCs w:val="24"/>
        </w:rPr>
        <w:t>・家庭内事故は、家庭（個人や家族が生活を営む住居。住居内だけでなく、庭、門扉、堀などを含む）で発生した生命・身体に係る事故。階段・浴室・浴槽などの住宅構成材による事故のほか、家庭内で使用・利用されているその他の商品による事故も含めた。</w:t>
      </w:r>
    </w:p>
    <w:sectPr w:rsidR="00FC114F" w:rsidRPr="00FC114F" w:rsidSect="00932D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14F" w:rsidRDefault="00FC114F" w:rsidP="00FC114F">
      <w:r>
        <w:separator/>
      </w:r>
    </w:p>
  </w:endnote>
  <w:endnote w:type="continuationSeparator" w:id="0">
    <w:p w:rsidR="00FC114F" w:rsidRDefault="00FC114F" w:rsidP="00FC1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14F" w:rsidRDefault="00FC114F" w:rsidP="00FC114F">
      <w:r>
        <w:separator/>
      </w:r>
    </w:p>
  </w:footnote>
  <w:footnote w:type="continuationSeparator" w:id="0">
    <w:p w:rsidR="00FC114F" w:rsidRDefault="00FC114F" w:rsidP="00FC1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77DA"/>
    <w:rsid w:val="00002975"/>
    <w:rsid w:val="0000557B"/>
    <w:rsid w:val="00011EB9"/>
    <w:rsid w:val="00014B72"/>
    <w:rsid w:val="00023EB1"/>
    <w:rsid w:val="00025587"/>
    <w:rsid w:val="0003418D"/>
    <w:rsid w:val="00044DEC"/>
    <w:rsid w:val="000536F6"/>
    <w:rsid w:val="00062BAC"/>
    <w:rsid w:val="00063418"/>
    <w:rsid w:val="000747B8"/>
    <w:rsid w:val="00095BA1"/>
    <w:rsid w:val="000A0C46"/>
    <w:rsid w:val="000A2044"/>
    <w:rsid w:val="000A2D12"/>
    <w:rsid w:val="000A61EE"/>
    <w:rsid w:val="000C089A"/>
    <w:rsid w:val="000C2909"/>
    <w:rsid w:val="000C6894"/>
    <w:rsid w:val="000C6AC6"/>
    <w:rsid w:val="000D503E"/>
    <w:rsid w:val="000D55CA"/>
    <w:rsid w:val="000E2422"/>
    <w:rsid w:val="000E74F5"/>
    <w:rsid w:val="000E7BC5"/>
    <w:rsid w:val="00102086"/>
    <w:rsid w:val="00113429"/>
    <w:rsid w:val="00116537"/>
    <w:rsid w:val="001213CF"/>
    <w:rsid w:val="001220AB"/>
    <w:rsid w:val="00124C5C"/>
    <w:rsid w:val="001277DA"/>
    <w:rsid w:val="00156CA6"/>
    <w:rsid w:val="001653F2"/>
    <w:rsid w:val="0017033F"/>
    <w:rsid w:val="001766E7"/>
    <w:rsid w:val="00177EF7"/>
    <w:rsid w:val="00180167"/>
    <w:rsid w:val="001829B0"/>
    <w:rsid w:val="0018717A"/>
    <w:rsid w:val="00192CC0"/>
    <w:rsid w:val="00193F19"/>
    <w:rsid w:val="00195E0A"/>
    <w:rsid w:val="001A35EC"/>
    <w:rsid w:val="001A601B"/>
    <w:rsid w:val="001A6083"/>
    <w:rsid w:val="001B3991"/>
    <w:rsid w:val="001B7F9A"/>
    <w:rsid w:val="001C0120"/>
    <w:rsid w:val="001D1503"/>
    <w:rsid w:val="001E6B4D"/>
    <w:rsid w:val="001F3B3E"/>
    <w:rsid w:val="002045F1"/>
    <w:rsid w:val="0021438A"/>
    <w:rsid w:val="002144C7"/>
    <w:rsid w:val="00214768"/>
    <w:rsid w:val="002237D4"/>
    <w:rsid w:val="00230457"/>
    <w:rsid w:val="00245B84"/>
    <w:rsid w:val="002469FD"/>
    <w:rsid w:val="00256D5A"/>
    <w:rsid w:val="00257D09"/>
    <w:rsid w:val="002606CB"/>
    <w:rsid w:val="00261522"/>
    <w:rsid w:val="0026774B"/>
    <w:rsid w:val="0026777A"/>
    <w:rsid w:val="00272805"/>
    <w:rsid w:val="0027548F"/>
    <w:rsid w:val="00281FFE"/>
    <w:rsid w:val="0028243C"/>
    <w:rsid w:val="002905D2"/>
    <w:rsid w:val="00292D94"/>
    <w:rsid w:val="002A3118"/>
    <w:rsid w:val="002A607C"/>
    <w:rsid w:val="002B3131"/>
    <w:rsid w:val="002C1029"/>
    <w:rsid w:val="002D4535"/>
    <w:rsid w:val="002D6AE7"/>
    <w:rsid w:val="002E4EF9"/>
    <w:rsid w:val="002F75C5"/>
    <w:rsid w:val="002F7C5A"/>
    <w:rsid w:val="00300EE7"/>
    <w:rsid w:val="0030419A"/>
    <w:rsid w:val="00311F9C"/>
    <w:rsid w:val="0031285D"/>
    <w:rsid w:val="00313085"/>
    <w:rsid w:val="003301DD"/>
    <w:rsid w:val="00335917"/>
    <w:rsid w:val="003421D5"/>
    <w:rsid w:val="0034295C"/>
    <w:rsid w:val="00343D18"/>
    <w:rsid w:val="003472F6"/>
    <w:rsid w:val="00354807"/>
    <w:rsid w:val="00363294"/>
    <w:rsid w:val="003809D4"/>
    <w:rsid w:val="0038716F"/>
    <w:rsid w:val="00390094"/>
    <w:rsid w:val="0039758F"/>
    <w:rsid w:val="003C1C76"/>
    <w:rsid w:val="003C3DC2"/>
    <w:rsid w:val="003C43CA"/>
    <w:rsid w:val="003C5980"/>
    <w:rsid w:val="003D4D71"/>
    <w:rsid w:val="003D60A4"/>
    <w:rsid w:val="003D7A9F"/>
    <w:rsid w:val="00402053"/>
    <w:rsid w:val="0040552E"/>
    <w:rsid w:val="004239CA"/>
    <w:rsid w:val="00425AE3"/>
    <w:rsid w:val="004272BA"/>
    <w:rsid w:val="004445F3"/>
    <w:rsid w:val="004504B3"/>
    <w:rsid w:val="00456955"/>
    <w:rsid w:val="00470FF6"/>
    <w:rsid w:val="0047266C"/>
    <w:rsid w:val="00475449"/>
    <w:rsid w:val="00485C84"/>
    <w:rsid w:val="00487FD5"/>
    <w:rsid w:val="004A4705"/>
    <w:rsid w:val="004C3C2B"/>
    <w:rsid w:val="004C7BC0"/>
    <w:rsid w:val="004D0FA6"/>
    <w:rsid w:val="004D2C1C"/>
    <w:rsid w:val="004E1948"/>
    <w:rsid w:val="004E2AA7"/>
    <w:rsid w:val="004F17BB"/>
    <w:rsid w:val="004F2454"/>
    <w:rsid w:val="004F7746"/>
    <w:rsid w:val="00500635"/>
    <w:rsid w:val="005063B7"/>
    <w:rsid w:val="00507332"/>
    <w:rsid w:val="005126A3"/>
    <w:rsid w:val="0052240A"/>
    <w:rsid w:val="00545D5E"/>
    <w:rsid w:val="00566E0B"/>
    <w:rsid w:val="0057453A"/>
    <w:rsid w:val="005B019E"/>
    <w:rsid w:val="005B643B"/>
    <w:rsid w:val="005C0949"/>
    <w:rsid w:val="005C2DE4"/>
    <w:rsid w:val="005C4899"/>
    <w:rsid w:val="005C72FC"/>
    <w:rsid w:val="005D137A"/>
    <w:rsid w:val="005D62B3"/>
    <w:rsid w:val="005E1E18"/>
    <w:rsid w:val="005E66C5"/>
    <w:rsid w:val="005E6CFC"/>
    <w:rsid w:val="005E6EB0"/>
    <w:rsid w:val="005E7487"/>
    <w:rsid w:val="005F2A5F"/>
    <w:rsid w:val="005F469A"/>
    <w:rsid w:val="00606306"/>
    <w:rsid w:val="00611027"/>
    <w:rsid w:val="00611306"/>
    <w:rsid w:val="00611F20"/>
    <w:rsid w:val="006146A2"/>
    <w:rsid w:val="00622D8E"/>
    <w:rsid w:val="006232CF"/>
    <w:rsid w:val="00630CBC"/>
    <w:rsid w:val="0063519A"/>
    <w:rsid w:val="00652F41"/>
    <w:rsid w:val="00661441"/>
    <w:rsid w:val="00663C68"/>
    <w:rsid w:val="0066694C"/>
    <w:rsid w:val="00685E31"/>
    <w:rsid w:val="00693FFF"/>
    <w:rsid w:val="0069483E"/>
    <w:rsid w:val="006A0225"/>
    <w:rsid w:val="006A4983"/>
    <w:rsid w:val="006A7A03"/>
    <w:rsid w:val="006B6904"/>
    <w:rsid w:val="006D677E"/>
    <w:rsid w:val="006E0FAE"/>
    <w:rsid w:val="006E6AEE"/>
    <w:rsid w:val="007127A9"/>
    <w:rsid w:val="00712BDA"/>
    <w:rsid w:val="007169F8"/>
    <w:rsid w:val="00751658"/>
    <w:rsid w:val="00755A00"/>
    <w:rsid w:val="00757717"/>
    <w:rsid w:val="00761837"/>
    <w:rsid w:val="0077239F"/>
    <w:rsid w:val="00773707"/>
    <w:rsid w:val="00786016"/>
    <w:rsid w:val="00793F31"/>
    <w:rsid w:val="00795E7D"/>
    <w:rsid w:val="00797C74"/>
    <w:rsid w:val="007B4571"/>
    <w:rsid w:val="007C1D09"/>
    <w:rsid w:val="007C7991"/>
    <w:rsid w:val="007D2959"/>
    <w:rsid w:val="007D3EA6"/>
    <w:rsid w:val="007D5942"/>
    <w:rsid w:val="007D60EC"/>
    <w:rsid w:val="007E0FA1"/>
    <w:rsid w:val="007E1EB5"/>
    <w:rsid w:val="007F0DD9"/>
    <w:rsid w:val="007F587E"/>
    <w:rsid w:val="00810D49"/>
    <w:rsid w:val="00812352"/>
    <w:rsid w:val="00814D2D"/>
    <w:rsid w:val="008151FB"/>
    <w:rsid w:val="00831EF7"/>
    <w:rsid w:val="0085199C"/>
    <w:rsid w:val="0085310F"/>
    <w:rsid w:val="008613AB"/>
    <w:rsid w:val="008637EC"/>
    <w:rsid w:val="00867B1E"/>
    <w:rsid w:val="0087245A"/>
    <w:rsid w:val="00872A19"/>
    <w:rsid w:val="008733BF"/>
    <w:rsid w:val="008756D4"/>
    <w:rsid w:val="00883778"/>
    <w:rsid w:val="0088648C"/>
    <w:rsid w:val="008A07E3"/>
    <w:rsid w:val="008A58F6"/>
    <w:rsid w:val="008A5B0E"/>
    <w:rsid w:val="008B0EF6"/>
    <w:rsid w:val="008B2692"/>
    <w:rsid w:val="008B2EC5"/>
    <w:rsid w:val="008B5EBA"/>
    <w:rsid w:val="008C26EA"/>
    <w:rsid w:val="008D2F20"/>
    <w:rsid w:val="008D4CFE"/>
    <w:rsid w:val="008E489A"/>
    <w:rsid w:val="008E6D0C"/>
    <w:rsid w:val="008F06B1"/>
    <w:rsid w:val="008F52AD"/>
    <w:rsid w:val="008F5D18"/>
    <w:rsid w:val="008F71AA"/>
    <w:rsid w:val="00900133"/>
    <w:rsid w:val="00902D91"/>
    <w:rsid w:val="00914DE3"/>
    <w:rsid w:val="0091662D"/>
    <w:rsid w:val="00931D89"/>
    <w:rsid w:val="00932D26"/>
    <w:rsid w:val="00936D3F"/>
    <w:rsid w:val="00946B62"/>
    <w:rsid w:val="009539E5"/>
    <w:rsid w:val="009551D2"/>
    <w:rsid w:val="00955CEA"/>
    <w:rsid w:val="009561F6"/>
    <w:rsid w:val="00957D46"/>
    <w:rsid w:val="00960C3A"/>
    <w:rsid w:val="009675E5"/>
    <w:rsid w:val="00977887"/>
    <w:rsid w:val="00992386"/>
    <w:rsid w:val="00997DFD"/>
    <w:rsid w:val="009B4A12"/>
    <w:rsid w:val="009C148B"/>
    <w:rsid w:val="009D1C9F"/>
    <w:rsid w:val="009E0749"/>
    <w:rsid w:val="009E5AAD"/>
    <w:rsid w:val="00A010D6"/>
    <w:rsid w:val="00A01C56"/>
    <w:rsid w:val="00A0244F"/>
    <w:rsid w:val="00A05362"/>
    <w:rsid w:val="00A12943"/>
    <w:rsid w:val="00A15D6C"/>
    <w:rsid w:val="00A1684B"/>
    <w:rsid w:val="00A21518"/>
    <w:rsid w:val="00A23739"/>
    <w:rsid w:val="00A241DB"/>
    <w:rsid w:val="00A25A80"/>
    <w:rsid w:val="00A331D0"/>
    <w:rsid w:val="00A350F1"/>
    <w:rsid w:val="00A42F03"/>
    <w:rsid w:val="00A544EA"/>
    <w:rsid w:val="00A62E2C"/>
    <w:rsid w:val="00A67E4D"/>
    <w:rsid w:val="00A827E7"/>
    <w:rsid w:val="00A82E5E"/>
    <w:rsid w:val="00A92AC8"/>
    <w:rsid w:val="00A96544"/>
    <w:rsid w:val="00A979BE"/>
    <w:rsid w:val="00A97F23"/>
    <w:rsid w:val="00AA1F28"/>
    <w:rsid w:val="00AA784C"/>
    <w:rsid w:val="00AB1D0A"/>
    <w:rsid w:val="00AB328E"/>
    <w:rsid w:val="00AB46E8"/>
    <w:rsid w:val="00AC055F"/>
    <w:rsid w:val="00AC21AD"/>
    <w:rsid w:val="00AD1F1F"/>
    <w:rsid w:val="00AD30C1"/>
    <w:rsid w:val="00AF13B7"/>
    <w:rsid w:val="00B024CF"/>
    <w:rsid w:val="00B12C02"/>
    <w:rsid w:val="00B21EFF"/>
    <w:rsid w:val="00B23C90"/>
    <w:rsid w:val="00B23F48"/>
    <w:rsid w:val="00B27301"/>
    <w:rsid w:val="00B60F64"/>
    <w:rsid w:val="00B617F9"/>
    <w:rsid w:val="00B64B0A"/>
    <w:rsid w:val="00B70947"/>
    <w:rsid w:val="00B91A1A"/>
    <w:rsid w:val="00B927D3"/>
    <w:rsid w:val="00BA5ED5"/>
    <w:rsid w:val="00BB02DA"/>
    <w:rsid w:val="00BB7FB3"/>
    <w:rsid w:val="00BC534A"/>
    <w:rsid w:val="00BC5494"/>
    <w:rsid w:val="00BD22C8"/>
    <w:rsid w:val="00BD37C6"/>
    <w:rsid w:val="00BD6390"/>
    <w:rsid w:val="00BD75E1"/>
    <w:rsid w:val="00BE232B"/>
    <w:rsid w:val="00BE3DC5"/>
    <w:rsid w:val="00BE5355"/>
    <w:rsid w:val="00BE59D9"/>
    <w:rsid w:val="00BF001C"/>
    <w:rsid w:val="00BF1A6A"/>
    <w:rsid w:val="00BF26F0"/>
    <w:rsid w:val="00BF37FD"/>
    <w:rsid w:val="00BF5604"/>
    <w:rsid w:val="00C00776"/>
    <w:rsid w:val="00C10B8B"/>
    <w:rsid w:val="00C10F8A"/>
    <w:rsid w:val="00C227CF"/>
    <w:rsid w:val="00C27089"/>
    <w:rsid w:val="00C3021C"/>
    <w:rsid w:val="00C32A8E"/>
    <w:rsid w:val="00C33E9E"/>
    <w:rsid w:val="00C44655"/>
    <w:rsid w:val="00C44A02"/>
    <w:rsid w:val="00C56A87"/>
    <w:rsid w:val="00C6145C"/>
    <w:rsid w:val="00C63665"/>
    <w:rsid w:val="00C7491C"/>
    <w:rsid w:val="00C75C9B"/>
    <w:rsid w:val="00C810AE"/>
    <w:rsid w:val="00C83035"/>
    <w:rsid w:val="00C837B0"/>
    <w:rsid w:val="00CA19C8"/>
    <w:rsid w:val="00CB1520"/>
    <w:rsid w:val="00CC6FC8"/>
    <w:rsid w:val="00CD1680"/>
    <w:rsid w:val="00CD1C8D"/>
    <w:rsid w:val="00CD678D"/>
    <w:rsid w:val="00CF7C18"/>
    <w:rsid w:val="00D001F8"/>
    <w:rsid w:val="00D04739"/>
    <w:rsid w:val="00D05259"/>
    <w:rsid w:val="00D11DBC"/>
    <w:rsid w:val="00D12140"/>
    <w:rsid w:val="00D34CE1"/>
    <w:rsid w:val="00D47749"/>
    <w:rsid w:val="00D50D7C"/>
    <w:rsid w:val="00D67779"/>
    <w:rsid w:val="00DA594A"/>
    <w:rsid w:val="00DC05A3"/>
    <w:rsid w:val="00DC44DC"/>
    <w:rsid w:val="00DC628F"/>
    <w:rsid w:val="00DD273A"/>
    <w:rsid w:val="00DD37FA"/>
    <w:rsid w:val="00DD5267"/>
    <w:rsid w:val="00DD59B1"/>
    <w:rsid w:val="00DF78BA"/>
    <w:rsid w:val="00E0370D"/>
    <w:rsid w:val="00E051BC"/>
    <w:rsid w:val="00E13704"/>
    <w:rsid w:val="00E143B4"/>
    <w:rsid w:val="00E14FEE"/>
    <w:rsid w:val="00E34547"/>
    <w:rsid w:val="00E36E47"/>
    <w:rsid w:val="00E370A5"/>
    <w:rsid w:val="00E421D2"/>
    <w:rsid w:val="00E46376"/>
    <w:rsid w:val="00E4645A"/>
    <w:rsid w:val="00E4748E"/>
    <w:rsid w:val="00E47D06"/>
    <w:rsid w:val="00E50BE3"/>
    <w:rsid w:val="00E525F3"/>
    <w:rsid w:val="00E60508"/>
    <w:rsid w:val="00E61916"/>
    <w:rsid w:val="00E7131F"/>
    <w:rsid w:val="00E71B14"/>
    <w:rsid w:val="00E828EC"/>
    <w:rsid w:val="00E87F07"/>
    <w:rsid w:val="00E94A27"/>
    <w:rsid w:val="00EA6B7D"/>
    <w:rsid w:val="00EC15E4"/>
    <w:rsid w:val="00EC5C35"/>
    <w:rsid w:val="00ED0544"/>
    <w:rsid w:val="00ED1B44"/>
    <w:rsid w:val="00ED3582"/>
    <w:rsid w:val="00EF7839"/>
    <w:rsid w:val="00F0445C"/>
    <w:rsid w:val="00F21953"/>
    <w:rsid w:val="00F23034"/>
    <w:rsid w:val="00F257D5"/>
    <w:rsid w:val="00F34E16"/>
    <w:rsid w:val="00F34E99"/>
    <w:rsid w:val="00F61A5D"/>
    <w:rsid w:val="00F631D6"/>
    <w:rsid w:val="00F72FFA"/>
    <w:rsid w:val="00F76F5D"/>
    <w:rsid w:val="00F82927"/>
    <w:rsid w:val="00F83303"/>
    <w:rsid w:val="00F83B61"/>
    <w:rsid w:val="00F91396"/>
    <w:rsid w:val="00F95D76"/>
    <w:rsid w:val="00FA3926"/>
    <w:rsid w:val="00FB4375"/>
    <w:rsid w:val="00FB6A7E"/>
    <w:rsid w:val="00FB6E07"/>
    <w:rsid w:val="00FC114F"/>
    <w:rsid w:val="00FC2793"/>
    <w:rsid w:val="00FC361A"/>
    <w:rsid w:val="00FC4102"/>
    <w:rsid w:val="00FC77E1"/>
    <w:rsid w:val="00FD0F93"/>
    <w:rsid w:val="00FD4B37"/>
    <w:rsid w:val="00FE0401"/>
    <w:rsid w:val="00FE046D"/>
    <w:rsid w:val="00FF3E64"/>
    <w:rsid w:val="00FF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1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C114F"/>
  </w:style>
  <w:style w:type="paragraph" w:styleId="a5">
    <w:name w:val="footer"/>
    <w:basedOn w:val="a"/>
    <w:link w:val="a6"/>
    <w:uiPriority w:val="99"/>
    <w:semiHidden/>
    <w:unhideWhenUsed/>
    <w:rsid w:val="00FC1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C1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chart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600" b="1">
                    <a:latin typeface="+mj-ea"/>
                    <a:ea typeface="+mj-ea"/>
                  </a:defRPr>
                </a:pPr>
                <a:endParaRPr lang="ja-JP"/>
              </a:p>
            </c:txPr>
            <c:showPercent val="1"/>
            <c:showLeaderLines val="1"/>
          </c:dLbls>
          <c:cat>
            <c:strRef>
              <c:f>Sheet1!$A$3:$A$11</c:f>
              <c:strCache>
                <c:ptCount val="9"/>
                <c:pt idx="0">
                  <c:v>０～４歳</c:v>
                </c:pt>
                <c:pt idx="1">
                  <c:v>５～９歳</c:v>
                </c:pt>
                <c:pt idx="2">
                  <c:v>１０～１４歳</c:v>
                </c:pt>
                <c:pt idx="3">
                  <c:v>１５～１９歳</c:v>
                </c:pt>
                <c:pt idx="4">
                  <c:v>２０～２９歳</c:v>
                </c:pt>
                <c:pt idx="5">
                  <c:v>３０～４９歳</c:v>
                </c:pt>
                <c:pt idx="6">
                  <c:v>５０～６４歳</c:v>
                </c:pt>
                <c:pt idx="7">
                  <c:v>６５～７４歳</c:v>
                </c:pt>
                <c:pt idx="8">
                  <c:v>７５歳以上</c:v>
                </c:pt>
              </c:strCache>
            </c:strRef>
          </c:cat>
          <c:val>
            <c:numRef>
              <c:f>Sheet1!$B$3:$B$11</c:f>
              <c:numCache>
                <c:formatCode>General</c:formatCode>
                <c:ptCount val="9"/>
                <c:pt idx="0">
                  <c:v>11144</c:v>
                </c:pt>
                <c:pt idx="1">
                  <c:v>2246</c:v>
                </c:pt>
                <c:pt idx="2">
                  <c:v>864</c:v>
                </c:pt>
                <c:pt idx="3">
                  <c:v>811</c:v>
                </c:pt>
                <c:pt idx="4">
                  <c:v>2539</c:v>
                </c:pt>
                <c:pt idx="5">
                  <c:v>4126</c:v>
                </c:pt>
                <c:pt idx="6">
                  <c:v>3071</c:v>
                </c:pt>
                <c:pt idx="7">
                  <c:v>1952</c:v>
                </c:pt>
                <c:pt idx="8">
                  <c:v>1711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3732086614173253"/>
          <c:y val="0.12327245552639256"/>
          <c:w val="0.20912808579339956"/>
          <c:h val="0.75345472440944883"/>
        </c:manualLayout>
      </c:layout>
      <c:txPr>
        <a:bodyPr/>
        <a:lstStyle/>
        <a:p>
          <a:pPr>
            <a:defRPr sz="1200" b="1">
              <a:latin typeface="+mj-ea"/>
              <a:ea typeface="+mj-ea"/>
            </a:defRPr>
          </a:pPr>
          <a:endParaRPr lang="ja-JP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ja-JP"/>
  <c:chart>
    <c:plotArea>
      <c:layout/>
      <c:pieChart>
        <c:varyColors val="1"/>
        <c:ser>
          <c:idx val="0"/>
          <c:order val="0"/>
          <c:dLbls>
            <c:dLbl>
              <c:idx val="5"/>
              <c:layout>
                <c:manualLayout>
                  <c:x val="8.6490659255828318E-3"/>
                  <c:y val="3.600623835064095E-2"/>
                </c:manualLayout>
              </c:layout>
              <c:showPercent val="1"/>
            </c:dLbl>
            <c:txPr>
              <a:bodyPr/>
              <a:lstStyle/>
              <a:p>
                <a:pPr>
                  <a:defRPr sz="1400" b="1"/>
                </a:pPr>
                <a:endParaRPr lang="ja-JP"/>
              </a:p>
            </c:txPr>
            <c:showPercent val="1"/>
            <c:showLeaderLines val="1"/>
          </c:dLbls>
          <c:cat>
            <c:strRef>
              <c:f>Sheet1!$A$28:$A$36</c:f>
              <c:strCache>
                <c:ptCount val="9"/>
                <c:pt idx="0">
                  <c:v>擦過傷・挫傷・打撲傷</c:v>
                </c:pt>
                <c:pt idx="1">
                  <c:v>刺傷・切傷</c:v>
                </c:pt>
                <c:pt idx="2">
                  <c:v>熱傷</c:v>
                </c:pt>
                <c:pt idx="3">
                  <c:v>異物の侵入</c:v>
                </c:pt>
                <c:pt idx="4">
                  <c:v>骨折</c:v>
                </c:pt>
                <c:pt idx="5">
                  <c:v>脱臼・捻挫</c:v>
                </c:pt>
                <c:pt idx="6">
                  <c:v>皮膚障害</c:v>
                </c:pt>
                <c:pt idx="7">
                  <c:v>その他の傷病及び諸症状</c:v>
                </c:pt>
                <c:pt idx="8">
                  <c:v>その他</c:v>
                </c:pt>
              </c:strCache>
            </c:strRef>
          </c:cat>
          <c:val>
            <c:numRef>
              <c:f>Sheet1!$B$28:$B$36</c:f>
              <c:numCache>
                <c:formatCode>General</c:formatCode>
                <c:ptCount val="9"/>
                <c:pt idx="0">
                  <c:v>9200</c:v>
                </c:pt>
                <c:pt idx="1">
                  <c:v>6263</c:v>
                </c:pt>
                <c:pt idx="2">
                  <c:v>5555</c:v>
                </c:pt>
                <c:pt idx="3">
                  <c:v>3372</c:v>
                </c:pt>
                <c:pt idx="4">
                  <c:v>1984</c:v>
                </c:pt>
                <c:pt idx="5">
                  <c:v>605</c:v>
                </c:pt>
                <c:pt idx="6">
                  <c:v>534</c:v>
                </c:pt>
                <c:pt idx="7">
                  <c:v>314</c:v>
                </c:pt>
                <c:pt idx="8">
                  <c:v>637</c:v>
                </c:pt>
              </c:numCache>
            </c:numRef>
          </c:val>
        </c:ser>
        <c:ser>
          <c:idx val="1"/>
          <c:order val="1"/>
          <c:cat>
            <c:strRef>
              <c:f>Sheet1!$A$28:$A$36</c:f>
              <c:strCache>
                <c:ptCount val="9"/>
                <c:pt idx="0">
                  <c:v>擦過傷・挫傷・打撲傷</c:v>
                </c:pt>
                <c:pt idx="1">
                  <c:v>刺傷・切傷</c:v>
                </c:pt>
                <c:pt idx="2">
                  <c:v>熱傷</c:v>
                </c:pt>
                <c:pt idx="3">
                  <c:v>異物の侵入</c:v>
                </c:pt>
                <c:pt idx="4">
                  <c:v>骨折</c:v>
                </c:pt>
                <c:pt idx="5">
                  <c:v>脱臼・捻挫</c:v>
                </c:pt>
                <c:pt idx="6">
                  <c:v>皮膚障害</c:v>
                </c:pt>
                <c:pt idx="7">
                  <c:v>その他の傷病及び諸症状</c:v>
                </c:pt>
                <c:pt idx="8">
                  <c:v>その他</c:v>
                </c:pt>
              </c:strCache>
            </c:strRef>
          </c:cat>
          <c:val>
            <c:numRef>
              <c:f>Sheet1!$C$28:$C$36</c:f>
              <c:numCache>
                <c:formatCode>General</c:formatCode>
                <c:ptCount val="9"/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1238924230516401"/>
          <c:y val="7.5534253870440132E-2"/>
          <c:w val="0.35466919742376835"/>
          <c:h val="0.7755015405682989"/>
        </c:manualLayout>
      </c:layout>
      <c:txPr>
        <a:bodyPr/>
        <a:lstStyle/>
        <a:p>
          <a:pPr>
            <a:defRPr sz="1100" b="1"/>
          </a:pPr>
          <a:endParaRPr lang="ja-JP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消費生活センター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消費生活センター</dc:creator>
  <cp:lastModifiedBy>消費生活センター</cp:lastModifiedBy>
  <cp:revision>2</cp:revision>
  <dcterms:created xsi:type="dcterms:W3CDTF">2013-03-07T05:47:00Z</dcterms:created>
  <dcterms:modified xsi:type="dcterms:W3CDTF">2013-03-07T07:04:00Z</dcterms:modified>
</cp:coreProperties>
</file>