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A" w:rsidRPr="001D0097" w:rsidRDefault="00E44781" w:rsidP="005F0E1F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line="240" w:lineRule="auto"/>
        <w:jc w:val="center"/>
        <w:rPr>
          <w:rFonts w:ascii="HGPｺﾞｼｯｸE" w:eastAsia="HGPｺﾞｼｯｸE" w:hAnsi="HGPｺﾞｼｯｸE"/>
          <w:sz w:val="32"/>
          <w:u w:val="single"/>
        </w:rPr>
      </w:pPr>
      <w:r w:rsidRPr="001D0097">
        <w:rPr>
          <w:rFonts w:ascii="HGPｺﾞｼｯｸE" w:eastAsia="HGPｺﾞｼｯｸE" w:hAnsi="HGPｺﾞｼｯｸE" w:hint="eastAsia"/>
          <w:sz w:val="32"/>
          <w:u w:val="single"/>
        </w:rPr>
        <w:t>園芸用ハウス等を使用されている事業者、農家の皆さまへ</w:t>
      </w:r>
    </w:p>
    <w:p w:rsidR="00E44781" w:rsidRDefault="00E44781" w:rsidP="00E44781">
      <w:pPr>
        <w:spacing w:line="240" w:lineRule="auto"/>
        <w:rPr>
          <w:b/>
          <w:sz w:val="28"/>
          <w:u w:val="single"/>
        </w:rPr>
      </w:pPr>
    </w:p>
    <w:p w:rsidR="006F3A91" w:rsidRDefault="006F3A91" w:rsidP="005C79CB">
      <w:pPr>
        <w:spacing w:line="240" w:lineRule="auto"/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3265170</wp:posOffset>
            </wp:positionH>
            <wp:positionV relativeFrom="page">
              <wp:posOffset>1952625</wp:posOffset>
            </wp:positionV>
            <wp:extent cx="2066925" cy="2066925"/>
            <wp:effectExtent l="0" t="0" r="0" b="9525"/>
            <wp:wrapSquare wrapText="bothSides"/>
            <wp:docPr id="1" name="図 1" descr="https://2.bp.blogspot.com/-ACc_SJ81Hvo/Web421uyTMI/AAAAAAABHmk/ADW2vrzyPuMN2WX8mD3MW704Ou97RLZnQCLcBGAs/s800/touyu_t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ACc_SJ81Hvo/Web421uyTMI/AAAAAAABHmk/ADW2vrzyPuMN2WX8mD3MW704Ou97RLZnQCLcBGAs/s800/touyu_tan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A91">
        <w:rPr>
          <w:rFonts w:hint="eastAsia"/>
        </w:rPr>
        <w:t>園芸用ハウス</w:t>
      </w:r>
      <w:r w:rsidR="00F06AA4">
        <w:rPr>
          <w:rFonts w:hint="eastAsia"/>
        </w:rPr>
        <w:t>等にて暖房用などに</w:t>
      </w:r>
      <w:r>
        <w:rPr>
          <w:rFonts w:hint="eastAsia"/>
        </w:rPr>
        <w:t>使用されている灯油や重油などは</w:t>
      </w:r>
      <w:r w:rsidR="00F06AA4">
        <w:rPr>
          <w:rFonts w:hint="eastAsia"/>
        </w:rPr>
        <w:t>、</w:t>
      </w:r>
      <w:r>
        <w:rPr>
          <w:rFonts w:hint="eastAsia"/>
        </w:rPr>
        <w:t>消防法で危険物として規制されています。</w:t>
      </w:r>
      <w:r w:rsidR="005C79CB" w:rsidRPr="00BF17CF">
        <w:rPr>
          <w:rFonts w:hint="eastAsia"/>
          <w:b/>
          <w:sz w:val="24"/>
          <w:u w:val="single"/>
        </w:rPr>
        <w:t>指定数量以上の危険物を無許可で貯蔵・取り扱いを行うと、消防法令違反となります。</w:t>
      </w:r>
    </w:p>
    <w:p w:rsidR="005C79CB" w:rsidRDefault="005C79CB" w:rsidP="005C79CB">
      <w:pPr>
        <w:spacing w:line="240" w:lineRule="auto"/>
        <w:ind w:firstLineChars="100" w:firstLine="210"/>
      </w:pPr>
      <w:r>
        <w:rPr>
          <w:rFonts w:hint="eastAsia"/>
        </w:rPr>
        <w:t>また、</w:t>
      </w:r>
      <w:r w:rsidRPr="00BF17CF">
        <w:rPr>
          <w:rFonts w:hint="eastAsia"/>
          <w:b/>
          <w:sz w:val="24"/>
          <w:u w:val="single"/>
        </w:rPr>
        <w:t>指定数量の５分の１以上指定数量未満の危険物を貯蔵・取り扱いを行う場合</w:t>
      </w:r>
      <w:r>
        <w:rPr>
          <w:rFonts w:hint="eastAsia"/>
        </w:rPr>
        <w:t>には火災予防条例の規制対象となります。</w:t>
      </w:r>
      <w:r w:rsidRPr="00BF17CF">
        <w:rPr>
          <w:rFonts w:hint="eastAsia"/>
          <w:b/>
          <w:sz w:val="24"/>
          <w:u w:val="single"/>
        </w:rPr>
        <w:t>消防署への届け出のほか、位置・構造の規制を受ける場合</w:t>
      </w:r>
      <w:r>
        <w:rPr>
          <w:rFonts w:hint="eastAsia"/>
        </w:rPr>
        <w:t>があります。</w:t>
      </w:r>
    </w:p>
    <w:p w:rsidR="00544903" w:rsidRDefault="00544903" w:rsidP="005C79CB">
      <w:pPr>
        <w:spacing w:line="240" w:lineRule="auto"/>
        <w:ind w:firstLineChars="100" w:firstLine="21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4246"/>
      </w:tblGrid>
      <w:tr w:rsidR="006F3A91" w:rsidTr="004B7ED0">
        <w:trPr>
          <w:jc w:val="center"/>
        </w:trPr>
        <w:tc>
          <w:tcPr>
            <w:tcW w:w="1413" w:type="dxa"/>
          </w:tcPr>
          <w:p w:rsidR="006F3A91" w:rsidRPr="00275E1E" w:rsidRDefault="006F3A91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危険物</w:t>
            </w:r>
          </w:p>
          <w:p w:rsidR="00275E1E" w:rsidRPr="00275E1E" w:rsidRDefault="00275E1E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（主な種類）</w:t>
            </w:r>
          </w:p>
        </w:tc>
        <w:tc>
          <w:tcPr>
            <w:tcW w:w="2835" w:type="dxa"/>
          </w:tcPr>
          <w:p w:rsidR="006F3A91" w:rsidRPr="00275E1E" w:rsidRDefault="006F3A91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指定数量</w:t>
            </w:r>
          </w:p>
          <w:p w:rsidR="006F3A91" w:rsidRPr="00275E1E" w:rsidRDefault="006F3A91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（危険物として許可が必要）</w:t>
            </w:r>
          </w:p>
        </w:tc>
        <w:tc>
          <w:tcPr>
            <w:tcW w:w="4246" w:type="dxa"/>
          </w:tcPr>
          <w:p w:rsidR="006F3A91" w:rsidRPr="00275E1E" w:rsidRDefault="006F3A91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指定数量の５分の１以上指定数量未満</w:t>
            </w:r>
          </w:p>
          <w:p w:rsidR="006F3A91" w:rsidRPr="00275E1E" w:rsidRDefault="0065420C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（</w:t>
            </w:r>
            <w:r w:rsidR="006F3A91" w:rsidRPr="00275E1E">
              <w:rPr>
                <w:rFonts w:hint="eastAsia"/>
                <w:sz w:val="19"/>
                <w:szCs w:val="19"/>
              </w:rPr>
              <w:t>少量危険物として規制</w:t>
            </w:r>
            <w:r w:rsidRPr="00275E1E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6F3A91" w:rsidTr="004B7ED0">
        <w:trPr>
          <w:jc w:val="center"/>
        </w:trPr>
        <w:tc>
          <w:tcPr>
            <w:tcW w:w="1413" w:type="dxa"/>
            <w:vAlign w:val="center"/>
          </w:tcPr>
          <w:p w:rsidR="004B7ED0" w:rsidRDefault="006F3A91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ガソリン</w:t>
            </w:r>
          </w:p>
          <w:p w:rsidR="006F3A91" w:rsidRPr="00275E1E" w:rsidRDefault="006F3A91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混合油等</w:t>
            </w:r>
          </w:p>
        </w:tc>
        <w:tc>
          <w:tcPr>
            <w:tcW w:w="2835" w:type="dxa"/>
            <w:vAlign w:val="center"/>
          </w:tcPr>
          <w:p w:rsidR="006F3A91" w:rsidRPr="00275E1E" w:rsidRDefault="005C79CB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２００リットル</w:t>
            </w:r>
          </w:p>
        </w:tc>
        <w:tc>
          <w:tcPr>
            <w:tcW w:w="4246" w:type="dxa"/>
            <w:vAlign w:val="center"/>
          </w:tcPr>
          <w:p w:rsidR="006F3A91" w:rsidRPr="00275E1E" w:rsidRDefault="005C79CB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４０リットル以上２００リットル未満</w:t>
            </w:r>
          </w:p>
        </w:tc>
      </w:tr>
      <w:tr w:rsidR="006F3A91" w:rsidTr="004B7ED0">
        <w:trPr>
          <w:trHeight w:val="734"/>
          <w:jc w:val="center"/>
        </w:trPr>
        <w:tc>
          <w:tcPr>
            <w:tcW w:w="1413" w:type="dxa"/>
            <w:vAlign w:val="center"/>
          </w:tcPr>
          <w:p w:rsidR="004B7ED0" w:rsidRDefault="004B7ED0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灯油</w:t>
            </w:r>
          </w:p>
          <w:p w:rsidR="006F3A91" w:rsidRPr="00275E1E" w:rsidRDefault="006F3A91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軽油等</w:t>
            </w:r>
          </w:p>
        </w:tc>
        <w:tc>
          <w:tcPr>
            <w:tcW w:w="2835" w:type="dxa"/>
            <w:vAlign w:val="center"/>
          </w:tcPr>
          <w:p w:rsidR="006F3A91" w:rsidRPr="00275E1E" w:rsidRDefault="005C79CB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１，０００リットル</w:t>
            </w:r>
          </w:p>
        </w:tc>
        <w:tc>
          <w:tcPr>
            <w:tcW w:w="4246" w:type="dxa"/>
            <w:vAlign w:val="center"/>
          </w:tcPr>
          <w:p w:rsidR="006F3A91" w:rsidRPr="00275E1E" w:rsidRDefault="005C79CB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２００リットル以上１，０００リットル未満</w:t>
            </w:r>
          </w:p>
        </w:tc>
      </w:tr>
      <w:tr w:rsidR="006F3A91" w:rsidTr="004B7ED0">
        <w:trPr>
          <w:trHeight w:val="728"/>
          <w:jc w:val="center"/>
        </w:trPr>
        <w:tc>
          <w:tcPr>
            <w:tcW w:w="1413" w:type="dxa"/>
            <w:vAlign w:val="center"/>
          </w:tcPr>
          <w:p w:rsidR="006F3A91" w:rsidRPr="00275E1E" w:rsidRDefault="006F3A91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重油等</w:t>
            </w:r>
          </w:p>
        </w:tc>
        <w:tc>
          <w:tcPr>
            <w:tcW w:w="2835" w:type="dxa"/>
            <w:vAlign w:val="center"/>
          </w:tcPr>
          <w:p w:rsidR="006F3A91" w:rsidRPr="00275E1E" w:rsidRDefault="005C79CB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２，０００リットル</w:t>
            </w:r>
          </w:p>
        </w:tc>
        <w:tc>
          <w:tcPr>
            <w:tcW w:w="4246" w:type="dxa"/>
            <w:vAlign w:val="center"/>
          </w:tcPr>
          <w:p w:rsidR="006F3A91" w:rsidRPr="00275E1E" w:rsidRDefault="005C79CB" w:rsidP="0065420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275E1E">
              <w:rPr>
                <w:rFonts w:hint="eastAsia"/>
                <w:sz w:val="19"/>
                <w:szCs w:val="19"/>
              </w:rPr>
              <w:t>４００リットル以上２，０００リットル未満</w:t>
            </w:r>
          </w:p>
        </w:tc>
      </w:tr>
    </w:tbl>
    <w:p w:rsidR="0065420C" w:rsidRDefault="00275E1E" w:rsidP="00275E1E">
      <w:pPr>
        <w:spacing w:line="240" w:lineRule="auto"/>
        <w:jc w:val="right"/>
      </w:pPr>
      <w:r>
        <w:rPr>
          <w:rFonts w:hint="eastAsia"/>
        </w:rPr>
        <w:t>※タンクの全容量にて計算します</w:t>
      </w:r>
    </w:p>
    <w:p w:rsidR="0065420C" w:rsidRDefault="0065420C" w:rsidP="0065420C">
      <w:pPr>
        <w:spacing w:line="240" w:lineRule="auto"/>
      </w:pPr>
      <w:r>
        <w:t>≪</w:t>
      </w:r>
      <w:r>
        <w:t>屋外少量危険物タンクの規制例</w:t>
      </w:r>
      <w:r>
        <w:t>≫</w:t>
      </w:r>
    </w:p>
    <w:p w:rsidR="00275E1E" w:rsidRDefault="004B7ED0" w:rsidP="009C7B4B">
      <w:pPr>
        <w:spacing w:line="240" w:lineRule="auto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6896100</wp:posOffset>
            </wp:positionV>
            <wp:extent cx="3457575" cy="22098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5" t="22183" r="14842" b="16215"/>
                    <a:stretch/>
                  </pic:blipFill>
                  <pic:spPr bwMode="auto">
                    <a:xfrm>
                      <a:off x="0" y="0"/>
                      <a:ext cx="34575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B4B" w:rsidRDefault="009C7B4B" w:rsidP="009C7B4B">
      <w:pPr>
        <w:spacing w:line="240" w:lineRule="auto"/>
        <w:ind w:left="360"/>
      </w:pPr>
    </w:p>
    <w:p w:rsidR="005F0E1F" w:rsidRDefault="005F0E1F" w:rsidP="00051E59">
      <w:pPr>
        <w:spacing w:line="240" w:lineRule="auto"/>
        <w:ind w:left="360" w:firstLineChars="100" w:firstLine="210"/>
      </w:pPr>
      <w:r>
        <w:rPr>
          <w:rFonts w:hint="eastAsia"/>
        </w:rPr>
        <w:t>&lt;</w:t>
      </w:r>
      <w:r>
        <w:rPr>
          <w:rFonts w:hint="eastAsia"/>
        </w:rPr>
        <w:t>主な規制</w:t>
      </w:r>
      <w:r>
        <w:rPr>
          <w:rFonts w:hint="eastAsia"/>
        </w:rPr>
        <w:t>&gt;</w:t>
      </w:r>
    </w:p>
    <w:p w:rsidR="005F0E1F" w:rsidRDefault="005F0E1F" w:rsidP="005F0E1F">
      <w:pPr>
        <w:pStyle w:val="a8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タンクの固定</w:t>
      </w:r>
    </w:p>
    <w:p w:rsidR="0065420C" w:rsidRDefault="0065420C" w:rsidP="009C7B4B">
      <w:pPr>
        <w:pStyle w:val="a8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周囲１ｍ</w:t>
      </w:r>
      <w:r w:rsidR="009C7B4B">
        <w:rPr>
          <w:rFonts w:hint="eastAsia"/>
        </w:rPr>
        <w:t>以上</w:t>
      </w:r>
      <w:r>
        <w:rPr>
          <w:rFonts w:hint="eastAsia"/>
        </w:rPr>
        <w:t>の空地</w:t>
      </w:r>
    </w:p>
    <w:p w:rsidR="0065420C" w:rsidRDefault="0065420C" w:rsidP="0065420C">
      <w:pPr>
        <w:pStyle w:val="a8"/>
        <w:numPr>
          <w:ilvl w:val="0"/>
          <w:numId w:val="2"/>
        </w:numPr>
        <w:spacing w:line="240" w:lineRule="auto"/>
        <w:ind w:leftChars="0"/>
      </w:pPr>
      <w:r>
        <w:t>防油堤の設置</w:t>
      </w:r>
    </w:p>
    <w:p w:rsidR="0065420C" w:rsidRDefault="00C85B48" w:rsidP="0065420C">
      <w:pPr>
        <w:pStyle w:val="a8"/>
        <w:numPr>
          <w:ilvl w:val="0"/>
          <w:numId w:val="2"/>
        </w:numPr>
        <w:spacing w:line="240" w:lineRule="auto"/>
        <w:ind w:leftChars="0"/>
      </w:pPr>
      <w:r>
        <w:t>標識・看板の設置</w:t>
      </w:r>
    </w:p>
    <w:p w:rsidR="0065420C" w:rsidRDefault="00C85B48" w:rsidP="00EB08A2">
      <w:pPr>
        <w:pStyle w:val="a8"/>
        <w:numPr>
          <w:ilvl w:val="0"/>
          <w:numId w:val="2"/>
        </w:numPr>
        <w:spacing w:line="240" w:lineRule="auto"/>
        <w:ind w:leftChars="0"/>
      </w:pPr>
      <w:r>
        <w:t>消火器の設置</w:t>
      </w:r>
      <w:r w:rsidR="009C7B4B">
        <w:rPr>
          <w:rFonts w:hint="eastAsia"/>
        </w:rPr>
        <w:t xml:space="preserve">　</w:t>
      </w:r>
      <w:r w:rsidR="005F0E1F">
        <w:rPr>
          <w:rFonts w:hint="eastAsia"/>
        </w:rPr>
        <w:t xml:space="preserve">　</w:t>
      </w:r>
      <w:bookmarkStart w:id="0" w:name="_GoBack"/>
      <w:bookmarkEnd w:id="0"/>
      <w:r w:rsidR="009C7B4B">
        <w:rPr>
          <w:rFonts w:hint="eastAsia"/>
        </w:rPr>
        <w:t>等</w:t>
      </w:r>
    </w:p>
    <w:p w:rsidR="004B7ED0" w:rsidRDefault="004B7ED0" w:rsidP="0065420C">
      <w:pPr>
        <w:spacing w:line="240" w:lineRule="auto"/>
        <w:rPr>
          <w:rFonts w:hint="eastAsia"/>
        </w:rPr>
      </w:pPr>
    </w:p>
    <w:p w:rsidR="00051E59" w:rsidRDefault="00051E59" w:rsidP="0065420C">
      <w:pPr>
        <w:spacing w:line="240" w:lineRule="auto"/>
        <w:rPr>
          <w:rFonts w:hint="eastAsia"/>
        </w:rPr>
      </w:pPr>
    </w:p>
    <w:p w:rsidR="00051E59" w:rsidRDefault="00051E59" w:rsidP="0065420C">
      <w:pPr>
        <w:spacing w:line="240" w:lineRule="auto"/>
      </w:pPr>
    </w:p>
    <w:p w:rsidR="009C7B4B" w:rsidRPr="006F3A91" w:rsidRDefault="009C7B4B" w:rsidP="00BF17CF">
      <w:pPr>
        <w:spacing w:line="240" w:lineRule="auto"/>
        <w:jc w:val="right"/>
      </w:pPr>
      <w:r>
        <w:rPr>
          <w:rFonts w:hint="eastAsia"/>
        </w:rPr>
        <w:t>なお、申請書は岐阜市のホームページよりダウンロードできます。</w:t>
      </w:r>
    </w:p>
    <w:p w:rsidR="00C85B48" w:rsidRPr="00544903" w:rsidRDefault="009C7B4B" w:rsidP="004B7ED0">
      <w:pPr>
        <w:spacing w:line="240" w:lineRule="auto"/>
        <w:jc w:val="right"/>
        <w:rPr>
          <w:b/>
          <w:sz w:val="24"/>
        </w:rPr>
      </w:pPr>
      <w:r>
        <w:rPr>
          <w:rFonts w:hint="eastAsia"/>
        </w:rPr>
        <w:t>不明な点はお近く</w:t>
      </w:r>
      <w:r w:rsidR="0065420C">
        <w:rPr>
          <w:rFonts w:hint="eastAsia"/>
        </w:rPr>
        <w:t>の消防</w:t>
      </w:r>
      <w:r>
        <w:rPr>
          <w:rFonts w:hint="eastAsia"/>
        </w:rPr>
        <w:t>署</w:t>
      </w:r>
      <w:r w:rsidR="0065420C">
        <w:rPr>
          <w:rFonts w:hint="eastAsia"/>
        </w:rPr>
        <w:t>へご連絡ください。</w:t>
      </w:r>
    </w:p>
    <w:sectPr w:rsidR="00C85B48" w:rsidRPr="00544903" w:rsidSect="00051E59">
      <w:pgSz w:w="11906" w:h="16838"/>
      <w:pgMar w:top="1701" w:right="1701" w:bottom="1418" w:left="1701" w:header="851" w:footer="992" w:gutter="0"/>
      <w:pgBorders w:offsetFrom="page">
        <w:top w:val="single" w:sz="24" w:space="24" w:color="360001" w:shadow="1"/>
        <w:left w:val="single" w:sz="24" w:space="24" w:color="360001" w:shadow="1"/>
        <w:bottom w:val="single" w:sz="24" w:space="24" w:color="360001" w:shadow="1"/>
        <w:right w:val="single" w:sz="24" w:space="24" w:color="360001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D0" w:rsidRDefault="004B7ED0" w:rsidP="004B7ED0">
      <w:pPr>
        <w:spacing w:line="240" w:lineRule="auto"/>
      </w:pPr>
      <w:r>
        <w:separator/>
      </w:r>
    </w:p>
  </w:endnote>
  <w:endnote w:type="continuationSeparator" w:id="0">
    <w:p w:rsidR="004B7ED0" w:rsidRDefault="004B7ED0" w:rsidP="004B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D0" w:rsidRDefault="004B7ED0" w:rsidP="004B7ED0">
      <w:pPr>
        <w:spacing w:line="240" w:lineRule="auto"/>
      </w:pPr>
      <w:r>
        <w:separator/>
      </w:r>
    </w:p>
  </w:footnote>
  <w:footnote w:type="continuationSeparator" w:id="0">
    <w:p w:rsidR="004B7ED0" w:rsidRDefault="004B7ED0" w:rsidP="004B7E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0F8"/>
    <w:multiLevelType w:val="hybridMultilevel"/>
    <w:tmpl w:val="BAF034C0"/>
    <w:lvl w:ilvl="0" w:tplc="0DBEB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FB69D7"/>
    <w:multiLevelType w:val="hybridMultilevel"/>
    <w:tmpl w:val="493E6702"/>
    <w:lvl w:ilvl="0" w:tplc="32E86998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81"/>
    <w:rsid w:val="00040573"/>
    <w:rsid w:val="00051E59"/>
    <w:rsid w:val="00087450"/>
    <w:rsid w:val="0009213F"/>
    <w:rsid w:val="000A40D4"/>
    <w:rsid w:val="000D3F7A"/>
    <w:rsid w:val="000E0967"/>
    <w:rsid w:val="001016C3"/>
    <w:rsid w:val="001353FF"/>
    <w:rsid w:val="001B29EC"/>
    <w:rsid w:val="001C4FEA"/>
    <w:rsid w:val="001D0097"/>
    <w:rsid w:val="001D09EE"/>
    <w:rsid w:val="00246B62"/>
    <w:rsid w:val="002653A4"/>
    <w:rsid w:val="00275E1E"/>
    <w:rsid w:val="00277AA4"/>
    <w:rsid w:val="002A3465"/>
    <w:rsid w:val="002E0001"/>
    <w:rsid w:val="00315C6D"/>
    <w:rsid w:val="00316929"/>
    <w:rsid w:val="00322013"/>
    <w:rsid w:val="00332342"/>
    <w:rsid w:val="00350181"/>
    <w:rsid w:val="003A47EB"/>
    <w:rsid w:val="003A60EA"/>
    <w:rsid w:val="003B4B41"/>
    <w:rsid w:val="003B57CB"/>
    <w:rsid w:val="004062E2"/>
    <w:rsid w:val="0042768F"/>
    <w:rsid w:val="00443089"/>
    <w:rsid w:val="00443E22"/>
    <w:rsid w:val="00475012"/>
    <w:rsid w:val="004B7ED0"/>
    <w:rsid w:val="004E67BC"/>
    <w:rsid w:val="004F443E"/>
    <w:rsid w:val="005151A5"/>
    <w:rsid w:val="00517454"/>
    <w:rsid w:val="0053749B"/>
    <w:rsid w:val="00544903"/>
    <w:rsid w:val="00552877"/>
    <w:rsid w:val="00570D24"/>
    <w:rsid w:val="00587145"/>
    <w:rsid w:val="005C6C6A"/>
    <w:rsid w:val="005C79CB"/>
    <w:rsid w:val="005D6FA0"/>
    <w:rsid w:val="005F0A82"/>
    <w:rsid w:val="005F0E1F"/>
    <w:rsid w:val="006261E6"/>
    <w:rsid w:val="0065420C"/>
    <w:rsid w:val="00666F76"/>
    <w:rsid w:val="00672B88"/>
    <w:rsid w:val="006A66A4"/>
    <w:rsid w:val="006D2037"/>
    <w:rsid w:val="006F3A91"/>
    <w:rsid w:val="00710D6E"/>
    <w:rsid w:val="0073742B"/>
    <w:rsid w:val="007A7F6A"/>
    <w:rsid w:val="007E6F13"/>
    <w:rsid w:val="00804042"/>
    <w:rsid w:val="008058BB"/>
    <w:rsid w:val="008340FC"/>
    <w:rsid w:val="00834B59"/>
    <w:rsid w:val="00876A9F"/>
    <w:rsid w:val="008B0D2A"/>
    <w:rsid w:val="008C34E3"/>
    <w:rsid w:val="008C46EF"/>
    <w:rsid w:val="008F1000"/>
    <w:rsid w:val="008F1E30"/>
    <w:rsid w:val="009142FE"/>
    <w:rsid w:val="009347EA"/>
    <w:rsid w:val="00962B80"/>
    <w:rsid w:val="009855FE"/>
    <w:rsid w:val="009907B3"/>
    <w:rsid w:val="009A4934"/>
    <w:rsid w:val="009B1975"/>
    <w:rsid w:val="009C7B4B"/>
    <w:rsid w:val="009D1E27"/>
    <w:rsid w:val="009D3B90"/>
    <w:rsid w:val="00A300A7"/>
    <w:rsid w:val="00A44E46"/>
    <w:rsid w:val="00A64B70"/>
    <w:rsid w:val="00A90604"/>
    <w:rsid w:val="00A94B43"/>
    <w:rsid w:val="00AB0B34"/>
    <w:rsid w:val="00B025E4"/>
    <w:rsid w:val="00B479DF"/>
    <w:rsid w:val="00B96181"/>
    <w:rsid w:val="00BE1DFA"/>
    <w:rsid w:val="00BF17CF"/>
    <w:rsid w:val="00BF6A25"/>
    <w:rsid w:val="00C11CEE"/>
    <w:rsid w:val="00C30EE9"/>
    <w:rsid w:val="00C40037"/>
    <w:rsid w:val="00C6428D"/>
    <w:rsid w:val="00C74FF4"/>
    <w:rsid w:val="00C77B6E"/>
    <w:rsid w:val="00C85B48"/>
    <w:rsid w:val="00C91B89"/>
    <w:rsid w:val="00CF21F5"/>
    <w:rsid w:val="00D21E70"/>
    <w:rsid w:val="00D51226"/>
    <w:rsid w:val="00D8184D"/>
    <w:rsid w:val="00D85F84"/>
    <w:rsid w:val="00DD6385"/>
    <w:rsid w:val="00DD665E"/>
    <w:rsid w:val="00DE5B24"/>
    <w:rsid w:val="00E00345"/>
    <w:rsid w:val="00E07E76"/>
    <w:rsid w:val="00E25C2B"/>
    <w:rsid w:val="00E44781"/>
    <w:rsid w:val="00E4639B"/>
    <w:rsid w:val="00E54DCB"/>
    <w:rsid w:val="00E57AC7"/>
    <w:rsid w:val="00EA49F6"/>
    <w:rsid w:val="00EB51A3"/>
    <w:rsid w:val="00ED6A53"/>
    <w:rsid w:val="00EE5877"/>
    <w:rsid w:val="00F06AA4"/>
    <w:rsid w:val="00F40A3D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B"/>
    <w:pPr>
      <w:spacing w:line="200" w:lineRule="exact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5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5C2B"/>
    <w:rPr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2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5C2B"/>
    <w:rPr>
      <w:sz w:val="21"/>
      <w:szCs w:val="21"/>
    </w:rPr>
  </w:style>
  <w:style w:type="table" w:styleId="a7">
    <w:name w:val="Table Grid"/>
    <w:basedOn w:val="a1"/>
    <w:uiPriority w:val="99"/>
    <w:rsid w:val="00E25C2B"/>
    <w:pPr>
      <w:spacing w:line="200" w:lineRule="exact"/>
    </w:pPr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542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B"/>
    <w:pPr>
      <w:spacing w:line="200" w:lineRule="exact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5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5C2B"/>
    <w:rPr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2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5C2B"/>
    <w:rPr>
      <w:sz w:val="21"/>
      <w:szCs w:val="21"/>
    </w:rPr>
  </w:style>
  <w:style w:type="table" w:styleId="a7">
    <w:name w:val="Table Grid"/>
    <w:basedOn w:val="a1"/>
    <w:uiPriority w:val="99"/>
    <w:rsid w:val="00E25C2B"/>
    <w:pPr>
      <w:spacing w:line="200" w:lineRule="exact"/>
    </w:pPr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54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B8F1-10E2-4042-B2D5-B5315A45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F523E428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哲弘</dc:creator>
  <cp:lastModifiedBy>浅野 哲弘</cp:lastModifiedBy>
  <cp:revision>4</cp:revision>
  <dcterms:created xsi:type="dcterms:W3CDTF">2020-06-07T02:41:00Z</dcterms:created>
  <dcterms:modified xsi:type="dcterms:W3CDTF">2020-06-07T03:07:00Z</dcterms:modified>
</cp:coreProperties>
</file>